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90F2" w14:textId="356BFCA0" w:rsidR="00716290" w:rsidRPr="00A22E73" w:rsidRDefault="00F83FA9" w:rsidP="00A22E73">
      <w:pPr>
        <w:spacing w:after="200" w:line="240" w:lineRule="auto"/>
        <w:jc w:val="both"/>
        <w:rPr>
          <w:rFonts w:eastAsia="Arial Unicode MS" w:cstheme="minorHAnsi"/>
          <w:b/>
          <w:color w:val="4600AB"/>
          <w:sz w:val="36"/>
          <w:szCs w:val="24"/>
        </w:rPr>
      </w:pPr>
      <w:r w:rsidRPr="00A22E73">
        <w:rPr>
          <w:rFonts w:eastAsia="Arial Unicode MS" w:cstheme="minorHAnsi"/>
          <w:b/>
          <w:noProof/>
          <w:color w:val="4600AB"/>
          <w:sz w:val="36"/>
        </w:rPr>
        <mc:AlternateContent>
          <mc:Choice Requires="wps">
            <w:drawing>
              <wp:anchor distT="0" distB="0" distL="114300" distR="114300" simplePos="0" relativeHeight="251658242" behindDoc="0" locked="0" layoutInCell="1" allowOverlap="1" wp14:anchorId="01E31496" wp14:editId="0AC75D58">
                <wp:simplePos x="0" y="0"/>
                <wp:positionH relativeFrom="page">
                  <wp:align>center</wp:align>
                </wp:positionH>
                <wp:positionV relativeFrom="paragraph">
                  <wp:posOffset>4819650</wp:posOffset>
                </wp:positionV>
                <wp:extent cx="6311900" cy="1965325"/>
                <wp:effectExtent l="0" t="0" r="12700" b="15875"/>
                <wp:wrapNone/>
                <wp:docPr id="2" name="Text Box 2"/>
                <wp:cNvGraphicFramePr/>
                <a:graphic xmlns:a="http://schemas.openxmlformats.org/drawingml/2006/main">
                  <a:graphicData uri="http://schemas.microsoft.com/office/word/2010/wordprocessingShape">
                    <wps:wsp>
                      <wps:cNvSpPr/>
                      <wps:spPr>
                        <a:xfrm>
                          <a:off x="0" y="0"/>
                          <a:ext cx="6311900" cy="1965325"/>
                        </a:xfrm>
                        <a:prstGeom prst="rect">
                          <a:avLst/>
                        </a:prstGeom>
                        <a:solidFill>
                          <a:srgbClr val="333399"/>
                        </a:solidFill>
                        <a:ln w="6350">
                          <a:solidFill>
                            <a:srgbClr val="333399"/>
                          </a:solidFill>
                        </a:ln>
                      </wps:spPr>
                      <wps:txbx>
                        <w:txbxContent>
                          <w:p w14:paraId="4D2D338D" w14:textId="77777777"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5A1F783F" w14:textId="77777777"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0454E26E" w14:textId="55E8E571"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Mid-Term Review of the Right2Grow Programme - Global Component</w:t>
                            </w:r>
                          </w:p>
                        </w:txbxContent>
                      </wps:txbx>
                      <wps:bodyPr spcFirstLastPara="0" wrap="square" lIns="91440" tIns="45720" rIns="91440" bIns="45720" anchor="t">
                        <a:noAutofit/>
                      </wps:bodyPr>
                    </wps:wsp>
                  </a:graphicData>
                </a:graphic>
                <wp14:sizeRelH relativeFrom="margin">
                  <wp14:pctWidth>0</wp14:pctWidth>
                </wp14:sizeRelH>
              </wp:anchor>
            </w:drawing>
          </mc:Choice>
          <mc:Fallback>
            <w:pict>
              <v:rect w14:anchorId="01E31496" id="Text Box 2" o:spid="_x0000_s1026" style="position:absolute;left:0;text-align:left;margin-left:0;margin-top:379.5pt;width:497pt;height:154.75pt;z-index:25165824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" fillcolor="#339" strokecolor="#339" strokeweight=".5pt">
                <v:textbox>
                  <w:txbxContent>
                    <w:p w14:paraId="4D2D338D" w14:textId="77777777"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Terms of Reference </w:t>
                      </w:r>
                    </w:p>
                    <w:p w14:paraId="5A1F783F" w14:textId="77777777"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 xml:space="preserve">for </w:t>
                      </w:r>
                    </w:p>
                    <w:p w14:paraId="0454E26E" w14:textId="55E8E571" w:rsidR="00A954A5" w:rsidRDefault="00A954A5">
                      <w:pPr>
                        <w:spacing w:line="256" w:lineRule="auto"/>
                        <w:jc w:val="center"/>
                        <w:rPr>
                          <w:rFonts w:ascii="Red Hat Text" w:hAnsi="Red Hat Text"/>
                          <w:b/>
                          <w:bCs/>
                          <w:color w:val="FF6600"/>
                          <w:sz w:val="48"/>
                          <w:szCs w:val="48"/>
                        </w:rPr>
                      </w:pPr>
                      <w:r>
                        <w:rPr>
                          <w:rFonts w:ascii="Red Hat Text" w:hAnsi="Red Hat Text"/>
                          <w:b/>
                          <w:bCs/>
                          <w:color w:val="FF6600"/>
                          <w:sz w:val="48"/>
                          <w:szCs w:val="48"/>
                        </w:rPr>
                        <w:t>Mid-Term Review of the Right2Grow Programme - Global Component</w:t>
                      </w:r>
                    </w:p>
                  </w:txbxContent>
                </v:textbox>
                <w10:wrap anchorx="page"/>
              </v:rect>
            </w:pict>
          </mc:Fallback>
        </mc:AlternateContent>
      </w:r>
      <w:r w:rsidRPr="00A22E73">
        <w:rPr>
          <w:rFonts w:eastAsia="Arial Unicode MS" w:cstheme="minorHAnsi"/>
          <w:b/>
          <w:noProof/>
          <w:color w:val="4600AB"/>
          <w:sz w:val="36"/>
        </w:rPr>
        <w:drawing>
          <wp:anchor distT="0" distB="0" distL="114300" distR="114300" simplePos="0" relativeHeight="251658240" behindDoc="1" locked="0" layoutInCell="1" allowOverlap="1" wp14:anchorId="723942DB" wp14:editId="6A242E05">
            <wp:simplePos x="0" y="0"/>
            <wp:positionH relativeFrom="page">
              <wp:align>center</wp:align>
            </wp:positionH>
            <wp:positionV relativeFrom="paragraph">
              <wp:posOffset>0</wp:posOffset>
            </wp:positionV>
            <wp:extent cx="6403426" cy="9435637"/>
            <wp:effectExtent l="0" t="0" r="0" b="0"/>
            <wp:wrapTight wrapText="bothSides">
              <wp:wrapPolygon edited="0">
                <wp:start x="0" y="0"/>
                <wp:lineTo x="0" y="21543"/>
                <wp:lineTo x="21527" y="21543"/>
                <wp:lineTo x="21527" y="0"/>
                <wp:lineTo x="0" y="0"/>
              </wp:wrapPolygon>
            </wp:wrapTight>
            <wp:docPr id="6" name="Picture 6" descr="C:\Users\stotieno\AppData\Local\Microsoft\Windows\INetCache\Content.MSO\3FEB5F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otieno\AppData\Local\Microsoft\Windows\INetCache\Content.MSO\3FEB5F6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3426" cy="94356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E73">
        <w:rPr>
          <w:rFonts w:eastAsia="Arial Unicode MS" w:cstheme="minorHAnsi"/>
          <w:b/>
          <w:noProof/>
          <w:color w:val="4600AB"/>
          <w:sz w:val="36"/>
        </w:rPr>
        <w:drawing>
          <wp:anchor distT="0" distB="0" distL="114300" distR="114300" simplePos="0" relativeHeight="251658241" behindDoc="1" locked="0" layoutInCell="1" allowOverlap="1" wp14:anchorId="36A07A79" wp14:editId="0B3AF080">
            <wp:simplePos x="0" y="0"/>
            <wp:positionH relativeFrom="margin">
              <wp:align>right</wp:align>
            </wp:positionH>
            <wp:positionV relativeFrom="paragraph">
              <wp:posOffset>4686300</wp:posOffset>
            </wp:positionV>
            <wp:extent cx="6394450" cy="1835150"/>
            <wp:effectExtent l="0" t="0" r="0" b="0"/>
            <wp:wrapTight wrapText="bothSides">
              <wp:wrapPolygon edited="0">
                <wp:start x="0" y="0"/>
                <wp:lineTo x="0" y="21600"/>
                <wp:lineTo x="21600" y="21600"/>
                <wp:lineTo x="21600" y="0"/>
              </wp:wrapPolygon>
            </wp:wrapTight>
            <wp:docPr id="5" name="Picture 5" descr="C:\Users\stotieno\AppData\Local\Microsoft\Windows\INetCache\Content.MSO\C49775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otieno\AppData\Local\Microsoft\Windows\INetCache\Content.MSO\C497753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445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5550237C" w:rsidRPr="1318F66B">
        <w:rPr>
          <w:rStyle w:val="eop"/>
          <w:b/>
          <w:bCs/>
          <w:color w:val="4600AC"/>
          <w:sz w:val="72"/>
          <w:szCs w:val="72"/>
          <w:shd w:val="clear" w:color="auto" w:fill="FFFFFF"/>
        </w:rPr>
        <w:t> </w:t>
      </w:r>
    </w:p>
    <w:p w14:paraId="5C7DAE65" w14:textId="77777777" w:rsidR="000C5869" w:rsidRPr="00A22E73" w:rsidRDefault="000C5869" w:rsidP="00A22E73">
      <w:pPr>
        <w:pStyle w:val="Kop3"/>
        <w:numPr>
          <w:ilvl w:val="0"/>
          <w:numId w:val="6"/>
        </w:numPr>
        <w:spacing w:before="0" w:after="200" w:line="240" w:lineRule="auto"/>
        <w:ind w:left="0" w:firstLine="0"/>
        <w:jc w:val="both"/>
        <w:rPr>
          <w:rFonts w:asciiTheme="minorHAnsi" w:hAnsiTheme="minorHAnsi" w:cstheme="minorHAnsi"/>
          <w:b/>
          <w:color w:val="4600AB"/>
          <w:kern w:val="10"/>
          <w:sz w:val="32"/>
        </w:rPr>
      </w:pPr>
      <w:r w:rsidRPr="00A22E73">
        <w:rPr>
          <w:rFonts w:asciiTheme="minorHAnsi" w:hAnsiTheme="minorHAnsi" w:cstheme="minorHAnsi"/>
          <w:b/>
          <w:color w:val="4600AB"/>
          <w:kern w:val="10"/>
          <w:sz w:val="32"/>
        </w:rPr>
        <w:lastRenderedPageBreak/>
        <w:t>Introduction</w:t>
      </w:r>
    </w:p>
    <w:p w14:paraId="465B8F44" w14:textId="615D8ECE" w:rsidR="00B07139" w:rsidRPr="00B11DC3" w:rsidRDefault="00B07139" w:rsidP="00B07139">
      <w:pPr>
        <w:spacing w:after="200" w:line="240" w:lineRule="auto"/>
        <w:jc w:val="both"/>
        <w:rPr>
          <w:rFonts w:cstheme="minorHAnsi"/>
        </w:rPr>
      </w:pPr>
      <w:r w:rsidRPr="00B11DC3">
        <w:rPr>
          <w:rFonts w:cstheme="minorHAnsi"/>
        </w:rPr>
        <w:t>Over the past decades great advances have been made in reducing all forms of undernutrition in children under five (CU5). In fact, the international community acknowledges that we have sufficient expertise and resources to get to zero cases of undernutrition. Nevertheless, almost 200 million CU5 suffer from stunting (low height/age), wasting (low weight/height), or both, and over 340 million from vitamin and mineral deficiencies. The impact of the COVID-19 pandemic is putting even more CU5s at risk. The world is off-track to meet most of the SDG targets related to hunger, food security, nutrition, and access to basic water, sanitation and hygiene (WASH) services, a critical precondition for good nutritional status.</w:t>
      </w:r>
    </w:p>
    <w:p w14:paraId="5C983886" w14:textId="18D52427" w:rsidR="000C5869" w:rsidRPr="00B11DC3" w:rsidRDefault="00016552" w:rsidP="00A22E73">
      <w:pPr>
        <w:spacing w:after="200" w:line="240" w:lineRule="auto"/>
        <w:jc w:val="both"/>
        <w:rPr>
          <w:rFonts w:cstheme="minorHAnsi"/>
        </w:rPr>
      </w:pPr>
      <w:r w:rsidRPr="00B11DC3">
        <w:rPr>
          <w:rFonts w:cstheme="minorHAnsi"/>
        </w:rPr>
        <w:t xml:space="preserve">Right2Grow is a Strategic Partnership between Action Against Hunger, the Centre for Economic Governance and Accountability in Africa (CEGAA), Max Foundation, Save the Children, The Hunger </w:t>
      </w:r>
      <w:proofErr w:type="spellStart"/>
      <w:r w:rsidR="00404297" w:rsidRPr="00B11DC3">
        <w:rPr>
          <w:rFonts w:cstheme="minorHAnsi"/>
        </w:rPr>
        <w:t>Programme</w:t>
      </w:r>
      <w:proofErr w:type="spellEnd"/>
      <w:r w:rsidRPr="00B11DC3">
        <w:rPr>
          <w:rFonts w:cstheme="minorHAnsi"/>
        </w:rPr>
        <w:t> and World Vision. With funding from the Dutch Government (Civil Society Strengthening – Power of Voices</w:t>
      </w:r>
      <w:r w:rsidR="00F0308E">
        <w:rPr>
          <w:rStyle w:val="Voetnootmarkering"/>
          <w:rFonts w:cstheme="minorHAnsi"/>
        </w:rPr>
        <w:footnoteReference w:id="2"/>
      </w:r>
      <w:r w:rsidRPr="00B11DC3">
        <w:rPr>
          <w:rFonts w:cstheme="minorHAnsi"/>
        </w:rPr>
        <w:t>), Righ2Grow collaborate</w:t>
      </w:r>
      <w:r w:rsidR="00A22E73" w:rsidRPr="00B11DC3">
        <w:rPr>
          <w:rFonts w:cstheme="minorHAnsi"/>
        </w:rPr>
        <w:t>s</w:t>
      </w:r>
      <w:r w:rsidRPr="00B11DC3">
        <w:rPr>
          <w:rFonts w:cstheme="minorHAnsi"/>
        </w:rPr>
        <w:t xml:space="preserve"> with communities, community-based </w:t>
      </w:r>
      <w:proofErr w:type="spellStart"/>
      <w:r w:rsidRPr="00B11DC3">
        <w:rPr>
          <w:rFonts w:cstheme="minorHAnsi"/>
        </w:rPr>
        <w:t>organisations</w:t>
      </w:r>
      <w:proofErr w:type="spellEnd"/>
      <w:r w:rsidRPr="00B11DC3">
        <w:rPr>
          <w:rFonts w:cstheme="minorHAnsi"/>
        </w:rPr>
        <w:t xml:space="preserve">, and civil society </w:t>
      </w:r>
      <w:proofErr w:type="spellStart"/>
      <w:r w:rsidRPr="00B11DC3">
        <w:rPr>
          <w:rFonts w:cstheme="minorHAnsi"/>
        </w:rPr>
        <w:t>organisations</w:t>
      </w:r>
      <w:proofErr w:type="spellEnd"/>
      <w:r w:rsidRPr="00B11DC3">
        <w:rPr>
          <w:rFonts w:cstheme="minorHAnsi"/>
        </w:rPr>
        <w:t xml:space="preserve"> in Bangladesh, Burkina Faso, Ethiopia, Mali, South Sudan, and Uganda from </w:t>
      </w:r>
      <w:r w:rsidR="00B058EE">
        <w:rPr>
          <w:rFonts w:cstheme="minorHAnsi"/>
        </w:rPr>
        <w:t xml:space="preserve">January </w:t>
      </w:r>
      <w:r w:rsidRPr="00B11DC3">
        <w:rPr>
          <w:rFonts w:cstheme="minorHAnsi"/>
        </w:rPr>
        <w:t>2021-</w:t>
      </w:r>
      <w:r w:rsidR="00B058EE">
        <w:rPr>
          <w:rFonts w:cstheme="minorHAnsi"/>
        </w:rPr>
        <w:t xml:space="preserve"> December </w:t>
      </w:r>
      <w:r w:rsidRPr="00B11DC3">
        <w:rPr>
          <w:rFonts w:cstheme="minorHAnsi"/>
        </w:rPr>
        <w:t>2025.</w:t>
      </w:r>
      <w:r w:rsidR="00A22E73" w:rsidRPr="00B11DC3">
        <w:rPr>
          <w:rFonts w:cstheme="minorHAnsi"/>
        </w:rPr>
        <w:t xml:space="preserve"> In each of the </w:t>
      </w:r>
      <w:proofErr w:type="spellStart"/>
      <w:r w:rsidR="00A22E73" w:rsidRPr="00B11DC3">
        <w:rPr>
          <w:rFonts w:cstheme="minorHAnsi"/>
        </w:rPr>
        <w:t>programme</w:t>
      </w:r>
      <w:proofErr w:type="spellEnd"/>
      <w:r w:rsidR="00A22E73" w:rsidRPr="00B11DC3">
        <w:rPr>
          <w:rFonts w:cstheme="minorHAnsi"/>
        </w:rPr>
        <w:t xml:space="preserve"> countries in addition to the global partners, local strategic implementing civil society </w:t>
      </w:r>
      <w:proofErr w:type="spellStart"/>
      <w:r w:rsidR="00A22E73" w:rsidRPr="00B11DC3">
        <w:rPr>
          <w:rFonts w:cstheme="minorHAnsi"/>
        </w:rPr>
        <w:t>organisations</w:t>
      </w:r>
      <w:proofErr w:type="spellEnd"/>
      <w:r w:rsidR="00A22E73" w:rsidRPr="00B11DC3">
        <w:rPr>
          <w:rFonts w:cstheme="minorHAnsi"/>
        </w:rPr>
        <w:t xml:space="preserve"> are playing a crucial role in the implementation, finding appropriate solutions to local contexts and ensuring </w:t>
      </w:r>
      <w:proofErr w:type="spellStart"/>
      <w:r w:rsidR="00A22E73" w:rsidRPr="00B11DC3">
        <w:rPr>
          <w:rFonts w:cstheme="minorHAnsi"/>
        </w:rPr>
        <w:t>programme</w:t>
      </w:r>
      <w:proofErr w:type="spellEnd"/>
      <w:r w:rsidR="00A22E73" w:rsidRPr="00B11DC3">
        <w:rPr>
          <w:rFonts w:cstheme="minorHAnsi"/>
        </w:rPr>
        <w:t xml:space="preserve"> sustainability.</w:t>
      </w:r>
    </w:p>
    <w:p w14:paraId="0AB57525" w14:textId="08243F24" w:rsidR="00A22E73" w:rsidRPr="00B11DC3" w:rsidRDefault="003D3023" w:rsidP="003D3023">
      <w:pPr>
        <w:spacing w:after="200" w:line="240" w:lineRule="auto"/>
        <w:jc w:val="both"/>
        <w:rPr>
          <w:rFonts w:cstheme="minorHAnsi"/>
        </w:rPr>
      </w:pPr>
      <w:r w:rsidRPr="00B11DC3">
        <w:rPr>
          <w:rFonts w:cstheme="minorHAnsi"/>
        </w:rPr>
        <w:t xml:space="preserve">Right2Grow believes that to ensure all Children Under 5 </w:t>
      </w:r>
      <w:r w:rsidR="00DF413A" w:rsidRPr="00B11DC3">
        <w:rPr>
          <w:rFonts w:cstheme="minorHAnsi"/>
        </w:rPr>
        <w:t xml:space="preserve">(CU5) </w:t>
      </w:r>
      <w:r w:rsidRPr="00B11DC3">
        <w:rPr>
          <w:rFonts w:cstheme="minorHAnsi"/>
        </w:rPr>
        <w:t xml:space="preserve">years are well nourished, changes in mindset and </w:t>
      </w:r>
      <w:proofErr w:type="spellStart"/>
      <w:r w:rsidRPr="00B11DC3">
        <w:rPr>
          <w:rFonts w:cstheme="minorHAnsi"/>
        </w:rPr>
        <w:t>behaviour</w:t>
      </w:r>
      <w:proofErr w:type="spellEnd"/>
      <w:r w:rsidRPr="00B11DC3">
        <w:rPr>
          <w:rFonts w:cstheme="minorHAnsi"/>
        </w:rPr>
        <w:t xml:space="preserve"> are required at all levels - from the household up to the state. To bridge the gaps between promising national</w:t>
      </w:r>
      <w:r w:rsidR="00F0308E">
        <w:rPr>
          <w:rFonts w:cstheme="minorHAnsi"/>
        </w:rPr>
        <w:t xml:space="preserve"> and local</w:t>
      </w:r>
      <w:r w:rsidRPr="00B11DC3">
        <w:rPr>
          <w:rFonts w:cstheme="minorHAnsi"/>
        </w:rPr>
        <w:t xml:space="preserve"> policies and realities, mutual efforts of all nutrition and WASH stakeholders are needed. Stakeholders should speak a shared language, and work in mutually reinforcing and interconnected ways, building and sharing evidence, knowledge, and expertise -so that all relevant decision-makers can jointly and effectively address undernutrition in a multisectoral, gender sensitive and inclusive way </w:t>
      </w:r>
      <w:r w:rsidRPr="00B11DC3">
        <w:rPr>
          <w:rFonts w:cstheme="minorHAnsi"/>
          <w:b/>
        </w:rPr>
        <w:t>(medium-term impact),</w:t>
      </w:r>
      <w:r w:rsidRPr="00B11DC3">
        <w:rPr>
          <w:rFonts w:cstheme="minorHAnsi"/>
        </w:rPr>
        <w:t xml:space="preserve"> while applying people-</w:t>
      </w:r>
      <w:proofErr w:type="spellStart"/>
      <w:r w:rsidRPr="00B11DC3">
        <w:rPr>
          <w:rFonts w:cstheme="minorHAnsi"/>
        </w:rPr>
        <w:t>centred</w:t>
      </w:r>
      <w:proofErr w:type="spellEnd"/>
      <w:r w:rsidRPr="00B11DC3">
        <w:rPr>
          <w:rFonts w:cstheme="minorHAnsi"/>
        </w:rPr>
        <w:t xml:space="preserve"> and community-led approaches. Success in this domain will also pave the way to open up the civic space, a critical precondition for the success of the SDGs - so that every child will be able to achieve its potential </w:t>
      </w:r>
      <w:r w:rsidRPr="00B11DC3">
        <w:rPr>
          <w:rFonts w:cstheme="minorHAnsi"/>
          <w:b/>
        </w:rPr>
        <w:t>(ultimate goal).</w:t>
      </w:r>
    </w:p>
    <w:p w14:paraId="1B28679C" w14:textId="73D7C532" w:rsidR="003D3023" w:rsidRPr="00B11DC3" w:rsidRDefault="5583AD4C" w:rsidP="0B66298A">
      <w:pPr>
        <w:spacing w:after="200" w:line="240" w:lineRule="auto"/>
        <w:jc w:val="both"/>
      </w:pPr>
      <w:r>
        <w:t xml:space="preserve">Right2Grow created four Pathways for change; community </w:t>
      </w:r>
      <w:proofErr w:type="spellStart"/>
      <w:r>
        <w:t>mobilisation</w:t>
      </w:r>
      <w:proofErr w:type="spellEnd"/>
      <w:r>
        <w:t xml:space="preserve">, strengthening civil society </w:t>
      </w:r>
      <w:proofErr w:type="spellStart"/>
      <w:r>
        <w:t>organisations</w:t>
      </w:r>
      <w:proofErr w:type="spellEnd"/>
      <w:r>
        <w:t xml:space="preserve">, engaging public authorities, and </w:t>
      </w:r>
      <w:proofErr w:type="spellStart"/>
      <w:r>
        <w:t>mobilised</w:t>
      </w:r>
      <w:proofErr w:type="spellEnd"/>
      <w:r>
        <w:t xml:space="preserve"> international development actors.</w:t>
      </w:r>
      <w:r w:rsidR="0AC64241">
        <w:t xml:space="preserve"> In 2021, baseline survey was conducted across the six implementing countries. In its third year of implementation, Right2Grow is commissioning a Mid-Term Review </w:t>
      </w:r>
      <w:r w:rsidR="3A260625">
        <w:t xml:space="preserve">(MTR) to be conducted </w:t>
      </w:r>
      <w:r w:rsidR="0AC64241">
        <w:t>both internally and externally, with consultants being responsible for the latter part</w:t>
      </w:r>
      <w:r w:rsidR="5BB9A2D7">
        <w:t xml:space="preserve"> focusing on assessment of partnership and collaboration as well as global consortium cost</w:t>
      </w:r>
      <w:r w:rsidR="58BB4E0E">
        <w:t>ing</w:t>
      </w:r>
      <w:r w:rsidR="5BB9A2D7">
        <w:t xml:space="preserve"> structure</w:t>
      </w:r>
      <w:r w:rsidR="0AC64241">
        <w:t>.</w:t>
      </w:r>
      <w:r w:rsidR="1AE10BD0">
        <w:t xml:space="preserve"> </w:t>
      </w:r>
      <w:r w:rsidR="704E85BC" w:rsidRPr="6B395109">
        <w:rPr>
          <w:b/>
          <w:bCs/>
        </w:rPr>
        <w:t>This TOR concerns the Global Component of the MTR</w:t>
      </w:r>
      <w:r w:rsidR="6E77E763">
        <w:t xml:space="preserve"> </w:t>
      </w:r>
      <w:r w:rsidR="572F8994">
        <w:t>as t</w:t>
      </w:r>
      <w:r w:rsidR="6774A258">
        <w:t xml:space="preserve">he MTR </w:t>
      </w:r>
      <w:r w:rsidR="6E77E763">
        <w:t xml:space="preserve">also </w:t>
      </w:r>
      <w:r w:rsidR="6774A258">
        <w:t xml:space="preserve">takes place in all six </w:t>
      </w:r>
      <w:proofErr w:type="spellStart"/>
      <w:r w:rsidR="6774A258">
        <w:t>programme</w:t>
      </w:r>
      <w:proofErr w:type="spellEnd"/>
      <w:r w:rsidR="6774A258">
        <w:t xml:space="preserve"> countries</w:t>
      </w:r>
      <w:r w:rsidR="6E77E763">
        <w:t>,</w:t>
      </w:r>
      <w:r w:rsidR="6774A258">
        <w:t xml:space="preserve"> commissioned locally. </w:t>
      </w:r>
    </w:p>
    <w:p w14:paraId="30DF1F2E" w14:textId="548FBAE2" w:rsidR="005C37CC" w:rsidRPr="00B11DC3" w:rsidRDefault="005C37CC">
      <w:pPr>
        <w:rPr>
          <w:rFonts w:cstheme="minorHAnsi"/>
        </w:rPr>
      </w:pPr>
      <w:r w:rsidRPr="00B11DC3">
        <w:rPr>
          <w:rFonts w:cstheme="minorHAnsi"/>
        </w:rPr>
        <w:br w:type="page"/>
      </w:r>
    </w:p>
    <w:p w14:paraId="0B6F278F" w14:textId="77777777" w:rsidR="005C37CC" w:rsidRPr="00B11DC3" w:rsidRDefault="005C37CC" w:rsidP="00472B05">
      <w:pPr>
        <w:spacing w:after="200" w:line="240" w:lineRule="auto"/>
        <w:jc w:val="both"/>
        <w:rPr>
          <w:rFonts w:cstheme="minorHAnsi"/>
        </w:rPr>
        <w:sectPr w:rsidR="005C37CC" w:rsidRPr="00B11DC3" w:rsidSect="00122D8F">
          <w:headerReference w:type="default" r:id="rId13"/>
          <w:footerReference w:type="default" r:id="rId14"/>
          <w:pgSz w:w="12240" w:h="15840"/>
          <w:pgMar w:top="1440" w:right="1440" w:bottom="1440" w:left="1800" w:header="720" w:footer="720" w:gutter="0"/>
          <w:cols w:space="720"/>
          <w:docGrid w:linePitch="360"/>
        </w:sectPr>
      </w:pPr>
    </w:p>
    <w:p w14:paraId="5C2D953F" w14:textId="53A9DCA7" w:rsidR="000C5869" w:rsidRPr="00A22E73" w:rsidRDefault="263632D6" w:rsidP="0B66298A">
      <w:pPr>
        <w:pStyle w:val="Kop3"/>
        <w:numPr>
          <w:ilvl w:val="0"/>
          <w:numId w:val="6"/>
        </w:numPr>
        <w:spacing w:before="0" w:after="200" w:line="240" w:lineRule="auto"/>
        <w:ind w:left="0" w:firstLine="0"/>
        <w:jc w:val="both"/>
        <w:rPr>
          <w:rFonts w:asciiTheme="minorHAnsi" w:hAnsiTheme="minorHAnsi" w:cstheme="minorBidi"/>
          <w:b/>
          <w:bCs/>
          <w:color w:val="4600AB"/>
          <w:kern w:val="10"/>
          <w:sz w:val="32"/>
          <w:szCs w:val="32"/>
        </w:rPr>
      </w:pPr>
      <w:r w:rsidRPr="7536D19F">
        <w:rPr>
          <w:rFonts w:asciiTheme="minorHAnsi" w:hAnsiTheme="minorHAnsi" w:cstheme="minorBidi"/>
          <w:b/>
          <w:bCs/>
          <w:color w:val="4600AB"/>
          <w:kern w:val="10"/>
          <w:sz w:val="32"/>
          <w:szCs w:val="32"/>
        </w:rPr>
        <w:lastRenderedPageBreak/>
        <w:t xml:space="preserve">Purpose and </w:t>
      </w:r>
      <w:r w:rsidR="5F02E43F" w:rsidRPr="7536D19F">
        <w:rPr>
          <w:rFonts w:asciiTheme="minorHAnsi" w:hAnsiTheme="minorHAnsi" w:cstheme="minorBidi"/>
          <w:b/>
          <w:bCs/>
          <w:color w:val="4600AB"/>
          <w:kern w:val="10"/>
          <w:sz w:val="32"/>
          <w:szCs w:val="32"/>
        </w:rPr>
        <w:t>O</w:t>
      </w:r>
      <w:r w:rsidR="7DB432D5" w:rsidRPr="7536D19F">
        <w:rPr>
          <w:rFonts w:asciiTheme="minorHAnsi" w:hAnsiTheme="minorHAnsi" w:cstheme="minorBidi"/>
          <w:b/>
          <w:bCs/>
          <w:color w:val="4600AB"/>
          <w:kern w:val="10"/>
          <w:sz w:val="32"/>
          <w:szCs w:val="32"/>
        </w:rPr>
        <w:t xml:space="preserve">bjectives of </w:t>
      </w:r>
      <w:r w:rsidR="3696E8D4" w:rsidRPr="7536D19F">
        <w:rPr>
          <w:rFonts w:asciiTheme="minorHAnsi" w:hAnsiTheme="minorHAnsi" w:cstheme="minorBidi"/>
          <w:b/>
          <w:bCs/>
          <w:color w:val="4600AB"/>
          <w:kern w:val="10"/>
          <w:sz w:val="32"/>
          <w:szCs w:val="32"/>
        </w:rPr>
        <w:t xml:space="preserve">the </w:t>
      </w:r>
      <w:r w:rsidRPr="7536D19F">
        <w:rPr>
          <w:rFonts w:asciiTheme="minorHAnsi" w:hAnsiTheme="minorHAnsi" w:cstheme="minorBidi"/>
          <w:b/>
          <w:bCs/>
          <w:color w:val="4600AB"/>
          <w:kern w:val="10"/>
          <w:sz w:val="32"/>
          <w:szCs w:val="32"/>
        </w:rPr>
        <w:t>Mid-Term Review</w:t>
      </w:r>
    </w:p>
    <w:p w14:paraId="3B9AE5CB" w14:textId="735E0FF6" w:rsidR="0084344A" w:rsidRDefault="2A53A24E" w:rsidP="7536D19F">
      <w:pPr>
        <w:spacing w:after="200" w:line="240" w:lineRule="auto"/>
        <w:jc w:val="both"/>
      </w:pPr>
      <w:r w:rsidRPr="7536D19F">
        <w:rPr>
          <w:rFonts w:ascii="Calibri" w:eastAsia="Calibri" w:hAnsi="Calibri" w:cs="Calibri"/>
        </w:rPr>
        <w:t xml:space="preserve">The purpose of the Midterm Review (MTR) is to generate insights into the implementation of interventions and the achievement of Right2Grows outcomes for the period </w:t>
      </w:r>
      <w:r w:rsidR="4FD99F67" w:rsidRPr="7536D19F">
        <w:rPr>
          <w:rFonts w:ascii="Calibri" w:eastAsia="Calibri" w:hAnsi="Calibri" w:cs="Calibri"/>
        </w:rPr>
        <w:t>between</w:t>
      </w:r>
      <w:r w:rsidRPr="7536D19F">
        <w:rPr>
          <w:rFonts w:ascii="Calibri" w:eastAsia="Calibri" w:hAnsi="Calibri" w:cs="Calibri"/>
        </w:rPr>
        <w:t xml:space="preserve"> 2021 </w:t>
      </w:r>
      <w:r w:rsidR="5A1477FD" w:rsidRPr="7536D19F">
        <w:rPr>
          <w:rFonts w:ascii="Calibri" w:eastAsia="Calibri" w:hAnsi="Calibri" w:cs="Calibri"/>
        </w:rPr>
        <w:t>and Mid</w:t>
      </w:r>
      <w:r w:rsidRPr="7536D19F">
        <w:rPr>
          <w:rFonts w:ascii="Calibri" w:eastAsia="Calibri" w:hAnsi="Calibri" w:cs="Calibri"/>
        </w:rPr>
        <w:t xml:space="preserve"> 2023. </w:t>
      </w:r>
      <w:r w:rsidR="4B49BE37">
        <w:t xml:space="preserve">The mid-term review will look at Global Lobby and Advocacy, as well as at processes (partnership structure, collaboration, cost assessment, governance, power balance) at global consortium level and the interlinkage between country and global levels. As per grant decision, the focus of the MTR will be two-fold: </w:t>
      </w:r>
    </w:p>
    <w:p w14:paraId="72092566" w14:textId="255FA628" w:rsidR="0084344A" w:rsidRDefault="4B49BE37" w:rsidP="7536D19F">
      <w:pPr>
        <w:pStyle w:val="Lijstalinea"/>
        <w:numPr>
          <w:ilvl w:val="0"/>
          <w:numId w:val="24"/>
        </w:numPr>
        <w:spacing w:after="200" w:line="240" w:lineRule="auto"/>
        <w:jc w:val="both"/>
      </w:pPr>
      <w:r w:rsidRPr="7536D19F">
        <w:rPr>
          <w:u w:val="single"/>
        </w:rPr>
        <w:t xml:space="preserve">Programmatic </w:t>
      </w:r>
      <w:r>
        <w:t xml:space="preserve">focusing on: Theory of Change, context analysis and risk analysis (including SEAH, fraud and corruption), achievements to date on the output and outcome indicators that are linked to the Strengthening Civil Society and thematic Result Framework basket indicators, crosscutting themes (gender, youth, climate), challenges, lessons learned and good practices, sustainability </w:t>
      </w:r>
    </w:p>
    <w:p w14:paraId="77815E73" w14:textId="4F0E7AE6" w:rsidR="0084344A" w:rsidRDefault="4B49BE37" w:rsidP="7536D19F">
      <w:pPr>
        <w:pStyle w:val="Lijstalinea"/>
        <w:numPr>
          <w:ilvl w:val="0"/>
          <w:numId w:val="24"/>
        </w:numPr>
        <w:spacing w:after="200" w:line="240" w:lineRule="auto"/>
        <w:jc w:val="both"/>
      </w:pPr>
      <w:r w:rsidRPr="7536D19F">
        <w:rPr>
          <w:u w:val="single"/>
        </w:rPr>
        <w:t>Partnership collaboration</w:t>
      </w:r>
      <w:r>
        <w:t xml:space="preserve"> focusing on: leading from the south, partnership with the Ministry and the Embassies, lessons learned and good practices</w:t>
      </w:r>
    </w:p>
    <w:p w14:paraId="7378CEE0" w14:textId="326C1C05" w:rsidR="0084344A" w:rsidRDefault="60142DA9" w:rsidP="7536D19F">
      <w:pPr>
        <w:spacing w:after="200" w:line="240" w:lineRule="auto"/>
        <w:jc w:val="both"/>
      </w:pPr>
      <w:r w:rsidRPr="7536D19F">
        <w:rPr>
          <w:rFonts w:ascii="Calibri" w:eastAsia="Calibri" w:hAnsi="Calibri" w:cs="Calibri"/>
        </w:rPr>
        <w:t>The evaluation is therefore primarily geared towards</w:t>
      </w:r>
      <w:r>
        <w:t xml:space="preserve">: Enabling the Rigt2Grow partnership to </w:t>
      </w:r>
      <w:r w:rsidRPr="7536D19F">
        <w:rPr>
          <w:b/>
          <w:bCs/>
        </w:rPr>
        <w:t>learn</w:t>
      </w:r>
      <w:r>
        <w:t xml:space="preserve"> about its successes and areas for improvement global level; Informing possible </w:t>
      </w:r>
      <w:r w:rsidRPr="7536D19F">
        <w:rPr>
          <w:b/>
          <w:bCs/>
        </w:rPr>
        <w:t xml:space="preserve">adjustment </w:t>
      </w:r>
      <w:r>
        <w:t xml:space="preserve">of Theory of Change and </w:t>
      </w:r>
      <w:r w:rsidRPr="7536D19F">
        <w:rPr>
          <w:b/>
          <w:bCs/>
        </w:rPr>
        <w:t>planning</w:t>
      </w:r>
      <w:r>
        <w:t xml:space="preserve"> for 2024-2025, including the adjustment of targets and indicator framework; Informing </w:t>
      </w:r>
      <w:r w:rsidRPr="7536D19F">
        <w:rPr>
          <w:b/>
          <w:bCs/>
        </w:rPr>
        <w:t>strategic decisions</w:t>
      </w:r>
      <w:r>
        <w:t xml:space="preserve"> for increased impact and added value in 2024-2025 and beyond; and Meeting the </w:t>
      </w:r>
      <w:r w:rsidRPr="7536D19F">
        <w:rPr>
          <w:b/>
          <w:bCs/>
        </w:rPr>
        <w:t>accountability</w:t>
      </w:r>
      <w:r>
        <w:t xml:space="preserve"> requirements of the Dutch Ministry of Foreign Affairs. </w:t>
      </w:r>
      <w:r w:rsidR="1AFAA3B5">
        <w:t xml:space="preserve">More specifically, the mid-term review for the global component aims to inform the following objectives: </w:t>
      </w:r>
    </w:p>
    <w:p w14:paraId="7CA5669A" w14:textId="77777777" w:rsidR="0084344A" w:rsidRPr="00DB7C53" w:rsidRDefault="0084344A" w:rsidP="0084344A">
      <w:pPr>
        <w:jc w:val="both"/>
        <w:rPr>
          <w:b/>
          <w:bCs/>
          <w:color w:val="333399"/>
        </w:rPr>
      </w:pPr>
      <w:r w:rsidRPr="0B66298A">
        <w:rPr>
          <w:b/>
          <w:bCs/>
          <w:color w:val="333399"/>
        </w:rPr>
        <w:t>At the global advocacy level:</w:t>
      </w:r>
    </w:p>
    <w:p w14:paraId="705E0C44" w14:textId="246906B0" w:rsidR="0084344A" w:rsidRDefault="00A87EA8" w:rsidP="0084344A">
      <w:pPr>
        <w:pStyle w:val="Lijstalinea"/>
        <w:numPr>
          <w:ilvl w:val="0"/>
          <w:numId w:val="26"/>
        </w:numPr>
        <w:jc w:val="both"/>
      </w:pPr>
      <w:r>
        <w:t>P</w:t>
      </w:r>
      <w:r w:rsidR="0084344A">
        <w:t xml:space="preserve">rogress towards the achievement of the 5-year global advocacy </w:t>
      </w:r>
      <w:r w:rsidR="001A34B4">
        <w:t>outcomes</w:t>
      </w:r>
      <w:r w:rsidR="0084344A">
        <w:t xml:space="preserve">, </w:t>
      </w:r>
      <w:r>
        <w:t>and contribution/influence toward Dutch level Lobby and Advocacy</w:t>
      </w:r>
      <w:r w:rsidR="005876F1">
        <w:t xml:space="preserve"> (L&amp;A)</w:t>
      </w:r>
      <w:r w:rsidR="0084344A">
        <w:t>;</w:t>
      </w:r>
    </w:p>
    <w:p w14:paraId="63098350" w14:textId="210CA1E1" w:rsidR="0084344A" w:rsidRDefault="33E86C90" w:rsidP="0084344A">
      <w:pPr>
        <w:pStyle w:val="Lijstalinea"/>
        <w:numPr>
          <w:ilvl w:val="0"/>
          <w:numId w:val="19"/>
        </w:numPr>
        <w:jc w:val="both"/>
      </w:pPr>
      <w:r>
        <w:t>R</w:t>
      </w:r>
      <w:r w:rsidR="1AFAA3B5">
        <w:t xml:space="preserve">ecommendations for strategic decision making for the second half of the </w:t>
      </w:r>
      <w:proofErr w:type="spellStart"/>
      <w:r w:rsidR="1AFAA3B5">
        <w:t>programme</w:t>
      </w:r>
      <w:proofErr w:type="spellEnd"/>
      <w:r w:rsidR="1AFAA3B5">
        <w:t xml:space="preserve"> on how to strengthen the global advocacy component of the </w:t>
      </w:r>
      <w:proofErr w:type="spellStart"/>
      <w:r w:rsidR="1AFAA3B5">
        <w:t>programme</w:t>
      </w:r>
      <w:proofErr w:type="spellEnd"/>
      <w:r w:rsidR="1AFAA3B5">
        <w:t xml:space="preserve">. </w:t>
      </w:r>
    </w:p>
    <w:p w14:paraId="7EFF8294" w14:textId="6A281248" w:rsidR="0084344A" w:rsidRPr="003B13FE" w:rsidRDefault="0084344A" w:rsidP="0084344A">
      <w:pPr>
        <w:jc w:val="both"/>
        <w:rPr>
          <w:b/>
          <w:color w:val="333399"/>
        </w:rPr>
      </w:pPr>
      <w:r w:rsidRPr="003B13FE">
        <w:rPr>
          <w:b/>
          <w:color w:val="333399"/>
        </w:rPr>
        <w:t xml:space="preserve">At the </w:t>
      </w:r>
      <w:r w:rsidR="00A87EA8">
        <w:rPr>
          <w:b/>
          <w:color w:val="333399"/>
        </w:rPr>
        <w:t xml:space="preserve">global </w:t>
      </w:r>
      <w:r w:rsidRPr="003B13FE">
        <w:rPr>
          <w:b/>
          <w:color w:val="333399"/>
        </w:rPr>
        <w:t>consortium level:</w:t>
      </w:r>
    </w:p>
    <w:p w14:paraId="6E69FEE9" w14:textId="2562B3F9" w:rsidR="0084344A" w:rsidRDefault="2587D0FE" w:rsidP="0084344A">
      <w:pPr>
        <w:pStyle w:val="Lijstalinea"/>
        <w:numPr>
          <w:ilvl w:val="0"/>
          <w:numId w:val="19"/>
        </w:numPr>
        <w:jc w:val="both"/>
      </w:pPr>
      <w:r>
        <w:t>How</w:t>
      </w:r>
      <w:r w:rsidR="1AFAA3B5">
        <w:t xml:space="preserve"> the Right2Grow global consortium management mechanisms and internal coordination processes contribute to the overall performance of the </w:t>
      </w:r>
      <w:proofErr w:type="spellStart"/>
      <w:r w:rsidR="1AFAA3B5">
        <w:t>programme</w:t>
      </w:r>
      <w:proofErr w:type="spellEnd"/>
      <w:r w:rsidR="1AFAA3B5">
        <w:t>, including staff resourcing, governance, transparency, accountability</w:t>
      </w:r>
      <w:r w:rsidR="00535808">
        <w:rPr>
          <w:rStyle w:val="Voetnootmarkering"/>
        </w:rPr>
        <w:footnoteReference w:id="3"/>
      </w:r>
      <w:r w:rsidR="1AFAA3B5">
        <w:t>, leading from the south, and the partnership with the Dutch Ministry of Foreign Affairs;</w:t>
      </w:r>
    </w:p>
    <w:p w14:paraId="73651A71" w14:textId="6C3261B4" w:rsidR="0084344A" w:rsidRDefault="5AD13FFC" w:rsidP="0084344A">
      <w:pPr>
        <w:pStyle w:val="Lijstalinea"/>
        <w:numPr>
          <w:ilvl w:val="0"/>
          <w:numId w:val="19"/>
        </w:numPr>
        <w:jc w:val="both"/>
        <w:rPr>
          <w:rFonts w:eastAsiaTheme="minorEastAsia"/>
        </w:rPr>
      </w:pPr>
      <w:r w:rsidRPr="7536D19F">
        <w:rPr>
          <w:rFonts w:eastAsiaTheme="minorEastAsia"/>
        </w:rPr>
        <w:t>How</w:t>
      </w:r>
      <w:r w:rsidR="1AFAA3B5" w:rsidRPr="7536D19F">
        <w:rPr>
          <w:rFonts w:eastAsiaTheme="minorEastAsia"/>
        </w:rPr>
        <w:t xml:space="preserve"> the existing partnership structure (global coordination mechanisms, global lead roles</w:t>
      </w:r>
      <w:r w:rsidR="7D09FAC9" w:rsidRPr="7536D19F">
        <w:rPr>
          <w:rFonts w:eastAsiaTheme="minorEastAsia"/>
        </w:rPr>
        <w:t xml:space="preserve"> and teams</w:t>
      </w:r>
      <w:r w:rsidR="1AFAA3B5" w:rsidRPr="7536D19F">
        <w:rPr>
          <w:rFonts w:eastAsiaTheme="minorEastAsia"/>
        </w:rPr>
        <w:t>, global management roles) and costs have influenced delivery of Right2Grow, and make relevant recommendations for the second half of the project;</w:t>
      </w:r>
    </w:p>
    <w:p w14:paraId="08016F06" w14:textId="221BDC7D" w:rsidR="0084344A" w:rsidRDefault="5AD13FFC" w:rsidP="0084344A">
      <w:pPr>
        <w:pStyle w:val="Lijstalinea"/>
        <w:numPr>
          <w:ilvl w:val="0"/>
          <w:numId w:val="19"/>
        </w:numPr>
        <w:jc w:val="both"/>
      </w:pPr>
      <w:r>
        <w:t>How adaptive management</w:t>
      </w:r>
      <w:r w:rsidR="1AFAA3B5">
        <w:t xml:space="preserve"> principles are being </w:t>
      </w:r>
      <w:proofErr w:type="spellStart"/>
      <w:r w:rsidR="1AFAA3B5">
        <w:t>operationalised</w:t>
      </w:r>
      <w:proofErr w:type="spellEnd"/>
      <w:r w:rsidR="1AFAA3B5">
        <w:t xml:space="preserve"> at consortium level</w:t>
      </w:r>
      <w:r>
        <w:t>, key achievements and recommendations</w:t>
      </w:r>
      <w:r w:rsidR="1AFAA3B5">
        <w:t>;</w:t>
      </w:r>
    </w:p>
    <w:p w14:paraId="3A0CEB15" w14:textId="1DC661CD" w:rsidR="0084344A" w:rsidRDefault="5AD13FFC" w:rsidP="0084344A">
      <w:pPr>
        <w:pStyle w:val="Lijstalinea"/>
        <w:numPr>
          <w:ilvl w:val="0"/>
          <w:numId w:val="19"/>
        </w:numPr>
        <w:jc w:val="both"/>
      </w:pPr>
      <w:r>
        <w:t>S</w:t>
      </w:r>
      <w:r w:rsidR="1AFAA3B5">
        <w:t xml:space="preserve">trengths and weaknesses and provide recommendations for the strategic direction of the </w:t>
      </w:r>
      <w:proofErr w:type="spellStart"/>
      <w:r w:rsidR="1AFAA3B5">
        <w:t>programme</w:t>
      </w:r>
      <w:proofErr w:type="spellEnd"/>
      <w:r w:rsidR="1AFAA3B5">
        <w:t xml:space="preserve"> including:</w:t>
      </w:r>
    </w:p>
    <w:p w14:paraId="1CA35D6C" w14:textId="77777777" w:rsidR="0084344A" w:rsidRDefault="0084344A" w:rsidP="0084344A">
      <w:pPr>
        <w:pStyle w:val="Lijstalinea"/>
        <w:numPr>
          <w:ilvl w:val="1"/>
          <w:numId w:val="19"/>
        </w:numPr>
        <w:jc w:val="both"/>
      </w:pPr>
      <w:r>
        <w:t>Gender and inclusion</w:t>
      </w:r>
    </w:p>
    <w:p w14:paraId="4243B514" w14:textId="77777777" w:rsidR="0084344A" w:rsidRDefault="0084344A" w:rsidP="0084344A">
      <w:pPr>
        <w:pStyle w:val="Lijstalinea"/>
        <w:numPr>
          <w:ilvl w:val="1"/>
          <w:numId w:val="19"/>
        </w:numPr>
        <w:jc w:val="both"/>
      </w:pPr>
      <w:r>
        <w:t>Innovations</w:t>
      </w:r>
    </w:p>
    <w:p w14:paraId="3A8686A0" w14:textId="77777777" w:rsidR="0084344A" w:rsidRDefault="0084344A" w:rsidP="0084344A">
      <w:pPr>
        <w:pStyle w:val="Lijstalinea"/>
        <w:numPr>
          <w:ilvl w:val="1"/>
          <w:numId w:val="19"/>
        </w:numPr>
        <w:jc w:val="both"/>
      </w:pPr>
      <w:r>
        <w:lastRenderedPageBreak/>
        <w:t>Shift the Power</w:t>
      </w:r>
    </w:p>
    <w:p w14:paraId="55E7711B" w14:textId="77777777" w:rsidR="0084344A" w:rsidRDefault="0084344A" w:rsidP="0084344A">
      <w:pPr>
        <w:pStyle w:val="Lijstalinea"/>
        <w:numPr>
          <w:ilvl w:val="1"/>
          <w:numId w:val="19"/>
        </w:numPr>
        <w:jc w:val="both"/>
      </w:pPr>
      <w:r>
        <w:t xml:space="preserve">Adaptive management and financial decision-making for 2024-2025 (e.g. fund allocation between different elements of the </w:t>
      </w:r>
      <w:proofErr w:type="spellStart"/>
      <w:r>
        <w:t>programme</w:t>
      </w:r>
      <w:proofErr w:type="spellEnd"/>
      <w:r>
        <w:t xml:space="preserve">). </w:t>
      </w:r>
    </w:p>
    <w:p w14:paraId="2AEAEF81" w14:textId="77777777" w:rsidR="0084344A" w:rsidRDefault="1AFAA3B5" w:rsidP="0084344A">
      <w:pPr>
        <w:pStyle w:val="Lijstalinea"/>
        <w:numPr>
          <w:ilvl w:val="0"/>
          <w:numId w:val="19"/>
        </w:numPr>
        <w:jc w:val="both"/>
      </w:pPr>
      <w:r>
        <w:t xml:space="preserve">To provide recommendations on how to improve the consortium’s support and contribution to the </w:t>
      </w:r>
      <w:proofErr w:type="spellStart"/>
      <w:r>
        <w:t>realisation</w:t>
      </w:r>
      <w:proofErr w:type="spellEnd"/>
      <w:r>
        <w:t xml:space="preserve"> of the TOC. </w:t>
      </w:r>
    </w:p>
    <w:p w14:paraId="7BBB5A83" w14:textId="279CF07A" w:rsidR="3A2B1D2D" w:rsidRDefault="3A2B1D2D" w:rsidP="00E101E2">
      <w:pPr>
        <w:jc w:val="both"/>
        <w:rPr>
          <w:rFonts w:ascii="Calibri" w:eastAsia="Calibri" w:hAnsi="Calibri" w:cs="Calibri"/>
        </w:rPr>
      </w:pPr>
      <w:r w:rsidRPr="30431A5F">
        <w:rPr>
          <w:rFonts w:ascii="Calibri" w:eastAsia="Calibri" w:hAnsi="Calibri" w:cs="Calibri"/>
          <w:b/>
          <w:bCs/>
          <w:color w:val="000000" w:themeColor="text1"/>
        </w:rPr>
        <w:t>Joint learning</w:t>
      </w:r>
      <w:r w:rsidRPr="30431A5F">
        <w:rPr>
          <w:rFonts w:ascii="Calibri" w:eastAsia="Calibri" w:hAnsi="Calibri" w:cs="Calibri"/>
          <w:color w:val="000000" w:themeColor="text1"/>
        </w:rPr>
        <w:t xml:space="preserve"> is a key component of the mid-term review. It is expected that the mid-term review will provide input for internal reflection and stimulate adaptation. Through participatory reflection, validation, dissemination and linking and learning meetings during the review period, the mid-term will contribute to strengthening the work, </w:t>
      </w:r>
      <w:r w:rsidRPr="00E101E2">
        <w:rPr>
          <w:rFonts w:ascii="Calibri" w:eastAsia="Calibri" w:hAnsi="Calibri" w:cs="Calibri"/>
        </w:rPr>
        <w:t>reassess ways of working and exchang</w:t>
      </w:r>
      <w:r w:rsidR="00652524" w:rsidRPr="00E101E2">
        <w:rPr>
          <w:rFonts w:ascii="Calibri" w:eastAsia="Calibri" w:hAnsi="Calibri" w:cs="Calibri"/>
        </w:rPr>
        <w:t>e</w:t>
      </w:r>
      <w:r w:rsidRPr="00E101E2">
        <w:rPr>
          <w:rFonts w:ascii="Calibri" w:eastAsia="Calibri" w:hAnsi="Calibri" w:cs="Calibri"/>
        </w:rPr>
        <w:t xml:space="preserve">, </w:t>
      </w:r>
      <w:r w:rsidR="00652524" w:rsidRPr="00E101E2">
        <w:rPr>
          <w:rFonts w:ascii="Calibri" w:eastAsia="Calibri" w:hAnsi="Calibri" w:cs="Calibri"/>
        </w:rPr>
        <w:t>inform</w:t>
      </w:r>
      <w:r w:rsidRPr="00E101E2">
        <w:rPr>
          <w:rFonts w:ascii="Calibri" w:eastAsia="Calibri" w:hAnsi="Calibri" w:cs="Calibri"/>
        </w:rPr>
        <w:t xml:space="preserve"> </w:t>
      </w:r>
      <w:r w:rsidR="00E101E2" w:rsidRPr="00E101E2">
        <w:rPr>
          <w:rFonts w:ascii="Calibri" w:eastAsia="Calibri" w:hAnsi="Calibri" w:cs="Calibri"/>
        </w:rPr>
        <w:t>planning, improve</w:t>
      </w:r>
      <w:r w:rsidRPr="00E101E2">
        <w:rPr>
          <w:rFonts w:ascii="Calibri" w:eastAsia="Calibri" w:hAnsi="Calibri" w:cs="Calibri"/>
        </w:rPr>
        <w:t xml:space="preserve"> programming </w:t>
      </w:r>
      <w:r w:rsidRPr="30431A5F">
        <w:rPr>
          <w:rFonts w:ascii="Calibri" w:eastAsia="Calibri" w:hAnsi="Calibri" w:cs="Calibri"/>
          <w:color w:val="000000" w:themeColor="text1"/>
        </w:rPr>
        <w:t xml:space="preserve">and stimulate innovation. Key findings and </w:t>
      </w:r>
      <w:r w:rsidR="00652524" w:rsidRPr="30431A5F">
        <w:rPr>
          <w:rFonts w:ascii="Calibri" w:eastAsia="Calibri" w:hAnsi="Calibri" w:cs="Calibri"/>
          <w:color w:val="000000" w:themeColor="text1"/>
        </w:rPr>
        <w:t>recommendations from</w:t>
      </w:r>
      <w:r w:rsidRPr="30431A5F">
        <w:rPr>
          <w:rFonts w:ascii="Calibri" w:eastAsia="Calibri" w:hAnsi="Calibri" w:cs="Calibri"/>
          <w:color w:val="000000" w:themeColor="text1"/>
        </w:rPr>
        <w:t xml:space="preserve"> the MTR will be specifically discussed during the learning week to ensure proper uptake in strategic reflections and ways forward.</w:t>
      </w:r>
    </w:p>
    <w:p w14:paraId="29D2708E" w14:textId="77777777" w:rsidR="000E7097" w:rsidRDefault="000E7097" w:rsidP="000E7097">
      <w:pPr>
        <w:jc w:val="both"/>
        <w:rPr>
          <w:rFonts w:ascii="Calibri" w:eastAsia="Calibri" w:hAnsi="Calibri" w:cs="Calibri"/>
        </w:rPr>
      </w:pPr>
      <w:r w:rsidRPr="2AFC856B">
        <w:rPr>
          <w:rFonts w:ascii="Calibri" w:eastAsia="Calibri" w:hAnsi="Calibri" w:cs="Calibri"/>
        </w:rPr>
        <w:t xml:space="preserve">While OECD-DAC criteria can be used as a guide, this TOR is focused on providing information against the key questions needed to support interventions for the remaining period. However, key evaluation criteria will cover; </w:t>
      </w:r>
      <w:r w:rsidRPr="2AFC856B">
        <w:rPr>
          <w:rFonts w:ascii="Calibri" w:eastAsia="Calibri" w:hAnsi="Calibri" w:cs="Calibri"/>
          <w:i/>
          <w:iCs/>
        </w:rPr>
        <w:t>relevance, effectiveness, efficiency, impact and sustainability.</w:t>
      </w:r>
    </w:p>
    <w:p w14:paraId="687CF8A2" w14:textId="772D1DA9" w:rsidR="74AF1E1E" w:rsidRDefault="47AEF076" w:rsidP="2AFC856B">
      <w:pPr>
        <w:jc w:val="both"/>
      </w:pPr>
      <w:r w:rsidRPr="0B66298A">
        <w:rPr>
          <w:rFonts w:ascii="Calibri" w:eastAsia="Calibri" w:hAnsi="Calibri" w:cs="Calibri"/>
          <w:b/>
          <w:bCs/>
          <w:color w:val="4600AB"/>
          <w:sz w:val="32"/>
          <w:szCs w:val="32"/>
        </w:rPr>
        <w:t xml:space="preserve">3. MTR questions </w:t>
      </w:r>
    </w:p>
    <w:p w14:paraId="6C98F187" w14:textId="77777777" w:rsidR="000901C3" w:rsidRDefault="000901C3" w:rsidP="000901C3">
      <w:pPr>
        <w:jc w:val="both"/>
      </w:pPr>
      <w:r>
        <w:t>The mid-term review is designed to answer two overall guiding questions:</w:t>
      </w:r>
    </w:p>
    <w:p w14:paraId="4276AC86" w14:textId="77777777" w:rsidR="000901C3" w:rsidRPr="00357218" w:rsidRDefault="000901C3" w:rsidP="000901C3">
      <w:pPr>
        <w:pStyle w:val="Lijstalinea"/>
        <w:numPr>
          <w:ilvl w:val="0"/>
          <w:numId w:val="22"/>
        </w:numPr>
        <w:jc w:val="both"/>
        <w:rPr>
          <w:i/>
        </w:rPr>
      </w:pPr>
      <w:r w:rsidRPr="00357218">
        <w:rPr>
          <w:i/>
        </w:rPr>
        <w:t xml:space="preserve">To date, during the first half period of the </w:t>
      </w:r>
      <w:proofErr w:type="spellStart"/>
      <w:r w:rsidRPr="00357218">
        <w:rPr>
          <w:i/>
        </w:rPr>
        <w:t>programme</w:t>
      </w:r>
      <w:proofErr w:type="spellEnd"/>
      <w:r w:rsidRPr="00357218">
        <w:rPr>
          <w:i/>
        </w:rPr>
        <w:t xml:space="preserve">, what has </w:t>
      </w:r>
      <w:r>
        <w:rPr>
          <w:i/>
        </w:rPr>
        <w:t xml:space="preserve">the </w:t>
      </w:r>
      <w:r w:rsidRPr="00357218">
        <w:rPr>
          <w:i/>
        </w:rPr>
        <w:t xml:space="preserve">Right2Grow </w:t>
      </w:r>
      <w:proofErr w:type="spellStart"/>
      <w:r w:rsidRPr="00357218">
        <w:rPr>
          <w:i/>
        </w:rPr>
        <w:t>programme</w:t>
      </w:r>
      <w:proofErr w:type="spellEnd"/>
      <w:r w:rsidRPr="00357218">
        <w:rPr>
          <w:i/>
        </w:rPr>
        <w:t xml:space="preserve"> achieved in relation to its objectives? </w:t>
      </w:r>
    </w:p>
    <w:p w14:paraId="5DC55A7C" w14:textId="77777777" w:rsidR="000901C3" w:rsidRPr="00357218" w:rsidRDefault="000901C3" w:rsidP="000901C3">
      <w:pPr>
        <w:pStyle w:val="Lijstalinea"/>
        <w:numPr>
          <w:ilvl w:val="0"/>
          <w:numId w:val="22"/>
        </w:numPr>
        <w:jc w:val="both"/>
        <w:rPr>
          <w:i/>
        </w:rPr>
      </w:pPr>
      <w:r w:rsidRPr="00357218">
        <w:rPr>
          <w:i/>
        </w:rPr>
        <w:t xml:space="preserve">In the remaining life of the Right2Grow </w:t>
      </w:r>
      <w:proofErr w:type="spellStart"/>
      <w:r w:rsidRPr="00357218">
        <w:rPr>
          <w:i/>
        </w:rPr>
        <w:t>programme</w:t>
      </w:r>
      <w:proofErr w:type="spellEnd"/>
      <w:r w:rsidRPr="00357218">
        <w:rPr>
          <w:i/>
        </w:rPr>
        <w:t xml:space="preserve">, what changes should be made to the </w:t>
      </w:r>
      <w:proofErr w:type="spellStart"/>
      <w:r w:rsidRPr="00357218">
        <w:rPr>
          <w:i/>
        </w:rPr>
        <w:t>programme</w:t>
      </w:r>
      <w:proofErr w:type="spellEnd"/>
      <w:r w:rsidRPr="00357218">
        <w:rPr>
          <w:i/>
        </w:rPr>
        <w:t xml:space="preserve"> design and implementation – to maximize the </w:t>
      </w:r>
      <w:proofErr w:type="spellStart"/>
      <w:r w:rsidRPr="00357218">
        <w:rPr>
          <w:i/>
        </w:rPr>
        <w:t>programme’s</w:t>
      </w:r>
      <w:proofErr w:type="spellEnd"/>
      <w:r w:rsidRPr="00357218">
        <w:rPr>
          <w:i/>
        </w:rPr>
        <w:t xml:space="preserve"> expected outcomes by end 2025?</w:t>
      </w:r>
    </w:p>
    <w:p w14:paraId="557DDE74" w14:textId="669FAC71" w:rsidR="000E7097" w:rsidRPr="00345E1D" w:rsidRDefault="59F3E776" w:rsidP="7536D19F">
      <w:pPr>
        <w:jc w:val="both"/>
        <w:rPr>
          <w:rFonts w:ascii="Calibri" w:eastAsia="Calibri" w:hAnsi="Calibri" w:cs="Calibri"/>
        </w:rPr>
      </w:pPr>
      <w:r w:rsidRPr="7536D19F">
        <w:rPr>
          <w:rFonts w:ascii="Calibri" w:eastAsia="Calibri" w:hAnsi="Calibri" w:cs="Calibri"/>
        </w:rPr>
        <w:t xml:space="preserve">During the inception phase, the consultant </w:t>
      </w:r>
      <w:r w:rsidR="3885A987" w:rsidRPr="7536D19F">
        <w:rPr>
          <w:rFonts w:ascii="Calibri" w:eastAsia="Calibri" w:hAnsi="Calibri" w:cs="Calibri"/>
        </w:rPr>
        <w:t xml:space="preserve">for external review </w:t>
      </w:r>
      <w:r w:rsidRPr="7536D19F">
        <w:rPr>
          <w:rFonts w:ascii="Calibri" w:eastAsia="Calibri" w:hAnsi="Calibri" w:cs="Calibri"/>
        </w:rPr>
        <w:t xml:space="preserve">is expected to select questions that are most relevant for answering the </w:t>
      </w:r>
      <w:r w:rsidR="506E39DA" w:rsidRPr="7536D19F">
        <w:rPr>
          <w:rFonts w:ascii="Calibri" w:eastAsia="Calibri" w:hAnsi="Calibri" w:cs="Calibri"/>
        </w:rPr>
        <w:t xml:space="preserve">overall </w:t>
      </w:r>
      <w:r w:rsidRPr="7536D19F">
        <w:rPr>
          <w:rFonts w:ascii="Calibri" w:eastAsia="Calibri" w:hAnsi="Calibri" w:cs="Calibri"/>
        </w:rPr>
        <w:t>MTR questions and to incorporate these into a comprehensive evaluation framework. The current preliminary sub-questions are listed below:</w:t>
      </w:r>
    </w:p>
    <w:p w14:paraId="69355269" w14:textId="537BA454" w:rsidR="74AF1E1E" w:rsidRPr="00B11DC3" w:rsidRDefault="5B88D14E" w:rsidP="2C465FDF">
      <w:pPr>
        <w:jc w:val="both"/>
        <w:rPr>
          <w:rFonts w:ascii="Calibri" w:eastAsia="Calibri" w:hAnsi="Calibri" w:cs="Calibri"/>
          <w:b/>
          <w:bCs/>
        </w:rPr>
      </w:pPr>
      <w:r w:rsidRPr="71D68881">
        <w:rPr>
          <w:rFonts w:ascii="Calibri" w:eastAsia="Calibri" w:hAnsi="Calibri" w:cs="Calibri"/>
          <w:b/>
          <w:bCs/>
        </w:rPr>
        <w:t>1</w:t>
      </w:r>
      <w:r w:rsidR="44217E08" w:rsidRPr="71D68881">
        <w:rPr>
          <w:rFonts w:ascii="Calibri" w:eastAsia="Calibri" w:hAnsi="Calibri" w:cs="Calibri"/>
          <w:b/>
          <w:bCs/>
        </w:rPr>
        <w:t xml:space="preserve">. Achievements to date on the </w:t>
      </w:r>
      <w:r w:rsidR="774A9409" w:rsidRPr="71D68881">
        <w:rPr>
          <w:rFonts w:ascii="Calibri" w:eastAsia="Calibri" w:hAnsi="Calibri" w:cs="Calibri"/>
          <w:b/>
          <w:bCs/>
        </w:rPr>
        <w:t>global advocacy</w:t>
      </w:r>
      <w:r w:rsidR="41350BE8" w:rsidRPr="71D68881">
        <w:rPr>
          <w:rFonts w:ascii="Calibri" w:eastAsia="Calibri" w:hAnsi="Calibri" w:cs="Calibri"/>
          <w:b/>
          <w:bCs/>
        </w:rPr>
        <w:t xml:space="preserve"> and advocacy</w:t>
      </w:r>
      <w:r w:rsidR="44217E08" w:rsidRPr="71D68881">
        <w:rPr>
          <w:rFonts w:ascii="Calibri" w:eastAsia="Calibri" w:hAnsi="Calibri" w:cs="Calibri"/>
          <w:b/>
          <w:bCs/>
        </w:rPr>
        <w:t xml:space="preserve"> level</w:t>
      </w:r>
      <w:r w:rsidR="274BEB98" w:rsidRPr="71D68881">
        <w:rPr>
          <w:rFonts w:ascii="Calibri" w:eastAsia="Calibri" w:hAnsi="Calibri" w:cs="Calibri"/>
          <w:b/>
          <w:bCs/>
        </w:rPr>
        <w:t xml:space="preserve"> (internal review)</w:t>
      </w:r>
    </w:p>
    <w:p w14:paraId="00086F54" w14:textId="43A34B0F" w:rsidR="004831A4" w:rsidRPr="00B11DC3" w:rsidRDefault="004831A4" w:rsidP="004831A4">
      <w:pPr>
        <w:jc w:val="both"/>
        <w:rPr>
          <w:rFonts w:ascii="Calibri" w:eastAsia="Calibri" w:hAnsi="Calibri" w:cs="Calibri"/>
        </w:rPr>
      </w:pPr>
      <w:r w:rsidRPr="2C465FDF">
        <w:rPr>
          <w:rFonts w:ascii="Calibri" w:eastAsia="Calibri" w:hAnsi="Calibri" w:cs="Calibri"/>
        </w:rPr>
        <w:t>1</w:t>
      </w:r>
      <w:r w:rsidR="74AF1E1E" w:rsidRPr="2C465FDF">
        <w:rPr>
          <w:rFonts w:ascii="Calibri" w:eastAsia="Calibri" w:hAnsi="Calibri" w:cs="Calibri"/>
        </w:rPr>
        <w:t xml:space="preserve">.1 </w:t>
      </w:r>
      <w:r w:rsidRPr="2C465FDF">
        <w:rPr>
          <w:rFonts w:ascii="Calibri" w:eastAsia="Calibri" w:hAnsi="Calibri" w:cs="Calibri"/>
        </w:rPr>
        <w:t>What progress has been made towards the achievement of the 5-year global advocacy</w:t>
      </w:r>
      <w:r w:rsidR="3FF2D279" w:rsidRPr="2C465FDF">
        <w:rPr>
          <w:rFonts w:ascii="Calibri" w:eastAsia="Calibri" w:hAnsi="Calibri" w:cs="Calibri"/>
        </w:rPr>
        <w:t xml:space="preserve"> </w:t>
      </w:r>
      <w:r w:rsidR="002A678B">
        <w:rPr>
          <w:rFonts w:ascii="Calibri" w:eastAsia="Calibri" w:hAnsi="Calibri" w:cs="Calibri"/>
        </w:rPr>
        <w:t>outcomes and contribution/influence towards Dutch level Lobby and Advocacy</w:t>
      </w:r>
      <w:r w:rsidRPr="2C465FDF">
        <w:rPr>
          <w:rFonts w:ascii="Calibri" w:eastAsia="Calibri" w:hAnsi="Calibri" w:cs="Calibri"/>
        </w:rPr>
        <w:t>;</w:t>
      </w:r>
    </w:p>
    <w:p w14:paraId="478E575A" w14:textId="462A2059" w:rsidR="74AF1E1E" w:rsidRPr="00B11DC3" w:rsidRDefault="004831A4" w:rsidP="2AFC856B">
      <w:pPr>
        <w:jc w:val="both"/>
      </w:pPr>
      <w:r w:rsidRPr="00B11DC3">
        <w:rPr>
          <w:rFonts w:ascii="Calibri" w:eastAsia="Calibri" w:hAnsi="Calibri" w:cs="Calibri"/>
        </w:rPr>
        <w:t>1</w:t>
      </w:r>
      <w:r w:rsidR="74AF1E1E" w:rsidRPr="00B11DC3">
        <w:rPr>
          <w:rFonts w:ascii="Calibri" w:eastAsia="Calibri" w:hAnsi="Calibri" w:cs="Calibri"/>
        </w:rPr>
        <w:t xml:space="preserve">.2 What can be said about the relationship of outputs achieved to the higher-level </w:t>
      </w:r>
      <w:proofErr w:type="spellStart"/>
      <w:r w:rsidR="74AF1E1E" w:rsidRPr="00B11DC3">
        <w:rPr>
          <w:rFonts w:ascii="Calibri" w:eastAsia="Calibri" w:hAnsi="Calibri" w:cs="Calibri"/>
        </w:rPr>
        <w:t>programme</w:t>
      </w:r>
      <w:proofErr w:type="spellEnd"/>
      <w:r w:rsidR="74AF1E1E" w:rsidRPr="00B11DC3">
        <w:rPr>
          <w:rFonts w:ascii="Calibri" w:eastAsia="Calibri" w:hAnsi="Calibri" w:cs="Calibri"/>
        </w:rPr>
        <w:t xml:space="preserve"> outcomes in terms of plausible contribution?</w:t>
      </w:r>
    </w:p>
    <w:p w14:paraId="23860B99" w14:textId="76CF6049" w:rsidR="74AF1E1E" w:rsidRPr="00B11DC3" w:rsidRDefault="004831A4" w:rsidP="2AFC856B">
      <w:pPr>
        <w:jc w:val="both"/>
        <w:rPr>
          <w:rFonts w:ascii="Calibri" w:eastAsia="Calibri" w:hAnsi="Calibri" w:cs="Calibri"/>
        </w:rPr>
      </w:pPr>
      <w:r w:rsidRPr="00B11DC3">
        <w:rPr>
          <w:rFonts w:ascii="Calibri" w:eastAsia="Calibri" w:hAnsi="Calibri" w:cs="Calibri"/>
        </w:rPr>
        <w:t>1</w:t>
      </w:r>
      <w:r w:rsidR="74AF1E1E" w:rsidRPr="00B11DC3">
        <w:rPr>
          <w:rFonts w:ascii="Calibri" w:eastAsia="Calibri" w:hAnsi="Calibri" w:cs="Calibri"/>
        </w:rPr>
        <w:t xml:space="preserve">.3 Which of the </w:t>
      </w:r>
      <w:proofErr w:type="spellStart"/>
      <w:r w:rsidR="74AF1E1E" w:rsidRPr="00B11DC3">
        <w:rPr>
          <w:rFonts w:ascii="Calibri" w:eastAsia="Calibri" w:hAnsi="Calibri" w:cs="Calibri"/>
        </w:rPr>
        <w:t>programme</w:t>
      </w:r>
      <w:proofErr w:type="spellEnd"/>
      <w:r w:rsidR="74AF1E1E" w:rsidRPr="00B11DC3">
        <w:rPr>
          <w:rFonts w:ascii="Calibri" w:eastAsia="Calibri" w:hAnsi="Calibri" w:cs="Calibri"/>
        </w:rPr>
        <w:t xml:space="preserve"> interventions appear to be particularly effective in producing anticipated outputs, and are most likely to contribute to </w:t>
      </w:r>
      <w:proofErr w:type="spellStart"/>
      <w:r w:rsidR="74AF1E1E" w:rsidRPr="00B11DC3">
        <w:rPr>
          <w:rFonts w:ascii="Calibri" w:eastAsia="Calibri" w:hAnsi="Calibri" w:cs="Calibri"/>
        </w:rPr>
        <w:t>programme</w:t>
      </w:r>
      <w:proofErr w:type="spellEnd"/>
      <w:r w:rsidR="74AF1E1E" w:rsidRPr="00B11DC3">
        <w:rPr>
          <w:rFonts w:ascii="Calibri" w:eastAsia="Calibri" w:hAnsi="Calibri" w:cs="Calibri"/>
        </w:rPr>
        <w:t xml:space="preserve"> outcomes?</w:t>
      </w:r>
    </w:p>
    <w:p w14:paraId="0CADDA77" w14:textId="306FEFB7" w:rsidR="00DA5932" w:rsidRDefault="00DA5932" w:rsidP="2C465FDF">
      <w:pPr>
        <w:jc w:val="both"/>
        <w:rPr>
          <w:rFonts w:eastAsia="Segoe UI" w:cstheme="minorHAnsi"/>
          <w:color w:val="333333"/>
        </w:rPr>
      </w:pPr>
      <w:r w:rsidRPr="00946B21">
        <w:rPr>
          <w:rFonts w:cstheme="minorHAnsi"/>
        </w:rPr>
        <w:t xml:space="preserve">1.4 </w:t>
      </w:r>
      <w:r w:rsidR="1FDA6DB0" w:rsidRPr="00946B21">
        <w:rPr>
          <w:rFonts w:eastAsia="Segoe UI" w:cstheme="minorHAnsi"/>
          <w:color w:val="333333"/>
        </w:rPr>
        <w:t>How has the partnership organization (</w:t>
      </w:r>
      <w:r w:rsidR="02B355EB" w:rsidRPr="00946B21">
        <w:rPr>
          <w:rFonts w:eastAsia="Segoe UI" w:cstheme="minorHAnsi"/>
          <w:color w:val="333333"/>
        </w:rPr>
        <w:t>G</w:t>
      </w:r>
      <w:r w:rsidR="1FDA6DB0" w:rsidRPr="00946B21">
        <w:rPr>
          <w:rFonts w:eastAsia="Segoe UI" w:cstheme="minorHAnsi"/>
          <w:color w:val="333333"/>
        </w:rPr>
        <w:t xml:space="preserve">lobal L&amp;A roles, global-local teams collaboration, global teams and forums effectiveness) influenced </w:t>
      </w:r>
      <w:proofErr w:type="spellStart"/>
      <w:r w:rsidR="1FDA6DB0" w:rsidRPr="00946B21">
        <w:rPr>
          <w:rFonts w:eastAsia="Segoe UI" w:cstheme="minorHAnsi"/>
          <w:color w:val="333333"/>
        </w:rPr>
        <w:t>programme</w:t>
      </w:r>
      <w:proofErr w:type="spellEnd"/>
      <w:r w:rsidR="1FDA6DB0" w:rsidRPr="00946B21">
        <w:rPr>
          <w:rFonts w:eastAsia="Segoe UI" w:cstheme="minorHAnsi"/>
          <w:color w:val="333333"/>
        </w:rPr>
        <w:t xml:space="preserve"> delivery and learning?</w:t>
      </w:r>
    </w:p>
    <w:p w14:paraId="514C02D7" w14:textId="6349D033" w:rsidR="008204CA" w:rsidRPr="00946B21" w:rsidRDefault="008204CA" w:rsidP="2C465FDF">
      <w:pPr>
        <w:jc w:val="both"/>
        <w:rPr>
          <w:rFonts w:eastAsia="Calibri" w:cstheme="minorHAnsi"/>
        </w:rPr>
      </w:pPr>
      <w:r>
        <w:rPr>
          <w:rFonts w:eastAsia="Calibri" w:cstheme="minorHAnsi"/>
        </w:rPr>
        <w:t xml:space="preserve">1.5 What recommendations are proposed for the remaining period towards </w:t>
      </w:r>
      <w:proofErr w:type="spellStart"/>
      <w:r>
        <w:rPr>
          <w:rFonts w:eastAsia="Calibri" w:cstheme="minorHAnsi"/>
        </w:rPr>
        <w:t>programme</w:t>
      </w:r>
      <w:proofErr w:type="spellEnd"/>
      <w:r>
        <w:rPr>
          <w:rFonts w:eastAsia="Calibri" w:cstheme="minorHAnsi"/>
        </w:rPr>
        <w:t xml:space="preserve"> achievement?</w:t>
      </w:r>
    </w:p>
    <w:p w14:paraId="065B1BAF" w14:textId="5A63C236" w:rsidR="74AF1E1E" w:rsidRPr="00B11DC3" w:rsidRDefault="52BF8496" w:rsidP="7536D19F">
      <w:pPr>
        <w:jc w:val="both"/>
        <w:rPr>
          <w:b/>
          <w:bCs/>
        </w:rPr>
      </w:pPr>
      <w:r w:rsidRPr="7536D19F">
        <w:rPr>
          <w:rFonts w:ascii="Calibri" w:eastAsia="Calibri" w:hAnsi="Calibri" w:cs="Calibri"/>
          <w:b/>
          <w:bCs/>
        </w:rPr>
        <w:t>2</w:t>
      </w:r>
      <w:r w:rsidR="42237609" w:rsidRPr="7536D19F">
        <w:rPr>
          <w:rFonts w:ascii="Calibri" w:eastAsia="Calibri" w:hAnsi="Calibri" w:cs="Calibri"/>
          <w:b/>
          <w:bCs/>
        </w:rPr>
        <w:t xml:space="preserve">. </w:t>
      </w:r>
      <w:r w:rsidR="008FBE18" w:rsidRPr="7536D19F">
        <w:rPr>
          <w:rFonts w:ascii="Calibri" w:eastAsia="Calibri" w:hAnsi="Calibri" w:cs="Calibri"/>
          <w:b/>
          <w:bCs/>
        </w:rPr>
        <w:t>G</w:t>
      </w:r>
      <w:r w:rsidR="008FBE18" w:rsidRPr="7536D19F">
        <w:rPr>
          <w:b/>
          <w:bCs/>
        </w:rPr>
        <w:t>lobal consortium level</w:t>
      </w:r>
      <w:r w:rsidR="621B6489" w:rsidRPr="7536D19F">
        <w:rPr>
          <w:b/>
          <w:bCs/>
        </w:rPr>
        <w:t xml:space="preserve"> </w:t>
      </w:r>
      <w:r w:rsidR="0088B55C" w:rsidRPr="7536D19F">
        <w:rPr>
          <w:b/>
          <w:bCs/>
        </w:rPr>
        <w:t xml:space="preserve">assessment </w:t>
      </w:r>
      <w:r w:rsidR="621B6489" w:rsidRPr="7536D19F">
        <w:rPr>
          <w:b/>
          <w:bCs/>
        </w:rPr>
        <w:t>(external review)</w:t>
      </w:r>
    </w:p>
    <w:p w14:paraId="7400699D" w14:textId="73C1798D" w:rsidR="74AF1E1E" w:rsidRPr="00B11DC3" w:rsidRDefault="64EC9484" w:rsidP="0B66298A">
      <w:pPr>
        <w:jc w:val="both"/>
        <w:rPr>
          <w:rFonts w:ascii="Calibri" w:eastAsia="Calibri" w:hAnsi="Calibri" w:cs="Calibri"/>
          <w:b/>
          <w:bCs/>
        </w:rPr>
      </w:pPr>
      <w:r w:rsidRPr="7536D19F">
        <w:rPr>
          <w:rFonts w:ascii="Calibri" w:eastAsia="Calibri" w:hAnsi="Calibri" w:cs="Calibri"/>
          <w:b/>
          <w:bCs/>
        </w:rPr>
        <w:lastRenderedPageBreak/>
        <w:t xml:space="preserve">2.1 </w:t>
      </w:r>
      <w:r w:rsidR="42237609" w:rsidRPr="7536D19F">
        <w:rPr>
          <w:rFonts w:ascii="Calibri" w:eastAsia="Calibri" w:hAnsi="Calibri" w:cs="Calibri"/>
          <w:b/>
          <w:bCs/>
        </w:rPr>
        <w:t>Partnership</w:t>
      </w:r>
      <w:r w:rsidR="4D059F1E" w:rsidRPr="7536D19F">
        <w:rPr>
          <w:rFonts w:ascii="Calibri" w:eastAsia="Calibri" w:hAnsi="Calibri" w:cs="Calibri"/>
          <w:b/>
          <w:bCs/>
        </w:rPr>
        <w:t>,</w:t>
      </w:r>
      <w:r w:rsidR="42237609" w:rsidRPr="7536D19F">
        <w:rPr>
          <w:rFonts w:ascii="Calibri" w:eastAsia="Calibri" w:hAnsi="Calibri" w:cs="Calibri"/>
          <w:b/>
          <w:bCs/>
        </w:rPr>
        <w:t xml:space="preserve"> collaboration</w:t>
      </w:r>
      <w:r w:rsidR="65081D4B" w:rsidRPr="7536D19F">
        <w:rPr>
          <w:rFonts w:ascii="Calibri" w:eastAsia="Calibri" w:hAnsi="Calibri" w:cs="Calibri"/>
          <w:b/>
          <w:bCs/>
        </w:rPr>
        <w:t xml:space="preserve"> </w:t>
      </w:r>
      <w:r w:rsidR="6E5729DF" w:rsidRPr="7536D19F">
        <w:rPr>
          <w:rFonts w:ascii="Calibri" w:eastAsia="Calibri" w:hAnsi="Calibri" w:cs="Calibri"/>
          <w:b/>
          <w:bCs/>
        </w:rPr>
        <w:t>and effectiveness</w:t>
      </w:r>
    </w:p>
    <w:p w14:paraId="2BEBD904" w14:textId="4F2ADA63" w:rsidR="00DA5932" w:rsidRDefault="52BF8496" w:rsidP="2C465FDF">
      <w:pPr>
        <w:jc w:val="both"/>
        <w:rPr>
          <w:rFonts w:ascii="Calibri" w:eastAsia="Calibri" w:hAnsi="Calibri" w:cs="Calibri"/>
        </w:rPr>
      </w:pPr>
      <w:r w:rsidRPr="7536D19F">
        <w:rPr>
          <w:rFonts w:ascii="Calibri" w:eastAsia="Calibri" w:hAnsi="Calibri" w:cs="Calibri"/>
        </w:rPr>
        <w:t>2</w:t>
      </w:r>
      <w:r w:rsidR="42237609" w:rsidRPr="7536D19F">
        <w:rPr>
          <w:rFonts w:ascii="Calibri" w:eastAsia="Calibri" w:hAnsi="Calibri" w:cs="Calibri"/>
        </w:rPr>
        <w:t>.</w:t>
      </w:r>
      <w:r w:rsidR="17D2A013" w:rsidRPr="7536D19F">
        <w:rPr>
          <w:rFonts w:ascii="Calibri" w:eastAsia="Calibri" w:hAnsi="Calibri" w:cs="Calibri"/>
        </w:rPr>
        <w:t>1.</w:t>
      </w:r>
      <w:r w:rsidR="42237609" w:rsidRPr="7536D19F">
        <w:rPr>
          <w:rFonts w:ascii="Calibri" w:eastAsia="Calibri" w:hAnsi="Calibri" w:cs="Calibri"/>
        </w:rPr>
        <w:t xml:space="preserve">1 </w:t>
      </w:r>
      <w:r w:rsidR="441B53E1" w:rsidRPr="7536D19F">
        <w:rPr>
          <w:rFonts w:ascii="Calibri" w:eastAsia="Calibri" w:hAnsi="Calibri" w:cs="Calibri"/>
        </w:rPr>
        <w:t>How</w:t>
      </w:r>
      <w:r w:rsidR="42237609" w:rsidRPr="7536D19F">
        <w:rPr>
          <w:rFonts w:ascii="Calibri" w:eastAsia="Calibri" w:hAnsi="Calibri" w:cs="Calibri"/>
        </w:rPr>
        <w:t xml:space="preserve"> has collaboration between the different </w:t>
      </w:r>
      <w:r w:rsidR="1EB0B112" w:rsidRPr="7536D19F">
        <w:rPr>
          <w:rFonts w:ascii="Calibri" w:eastAsia="Calibri" w:hAnsi="Calibri" w:cs="Calibri"/>
        </w:rPr>
        <w:t xml:space="preserve">Global </w:t>
      </w:r>
      <w:r w:rsidR="42237609" w:rsidRPr="7536D19F">
        <w:rPr>
          <w:rFonts w:ascii="Calibri" w:eastAsia="Calibri" w:hAnsi="Calibri" w:cs="Calibri"/>
        </w:rPr>
        <w:t xml:space="preserve">Consortium Partners </w:t>
      </w:r>
      <w:r w:rsidR="6F530FDE" w:rsidRPr="7536D19F">
        <w:rPr>
          <w:rFonts w:ascii="Calibri" w:eastAsia="Calibri" w:hAnsi="Calibri" w:cs="Calibri"/>
        </w:rPr>
        <w:t>and global teams</w:t>
      </w:r>
      <w:r w:rsidR="6829C101" w:rsidRPr="7536D19F">
        <w:rPr>
          <w:rFonts w:ascii="Calibri" w:eastAsia="Calibri" w:hAnsi="Calibri" w:cs="Calibri"/>
        </w:rPr>
        <w:t>; Lobby and Advocacy (</w:t>
      </w:r>
      <w:r w:rsidR="4C42E255" w:rsidRPr="7536D19F">
        <w:rPr>
          <w:rFonts w:ascii="Calibri" w:eastAsia="Calibri" w:hAnsi="Calibri" w:cs="Calibri"/>
        </w:rPr>
        <w:t>L&amp;A</w:t>
      </w:r>
      <w:r w:rsidR="6829C101" w:rsidRPr="7536D19F">
        <w:rPr>
          <w:rFonts w:ascii="Calibri" w:eastAsia="Calibri" w:hAnsi="Calibri" w:cs="Calibri"/>
        </w:rPr>
        <w:t>)</w:t>
      </w:r>
      <w:r w:rsidR="4C42E255" w:rsidRPr="7536D19F">
        <w:rPr>
          <w:rFonts w:ascii="Calibri" w:eastAsia="Calibri" w:hAnsi="Calibri" w:cs="Calibri"/>
        </w:rPr>
        <w:t xml:space="preserve">, </w:t>
      </w:r>
      <w:r w:rsidR="6829C101" w:rsidRPr="7536D19F">
        <w:rPr>
          <w:rFonts w:ascii="Calibri" w:eastAsia="Calibri" w:hAnsi="Calibri" w:cs="Calibri"/>
        </w:rPr>
        <w:t>Budget Monitoring and Expenditure Tracking (</w:t>
      </w:r>
      <w:r w:rsidR="4C42E255" w:rsidRPr="7536D19F">
        <w:rPr>
          <w:rFonts w:ascii="Calibri" w:eastAsia="Calibri" w:hAnsi="Calibri" w:cs="Calibri"/>
        </w:rPr>
        <w:t>B</w:t>
      </w:r>
      <w:r w:rsidR="6DFF9CB3" w:rsidRPr="7536D19F">
        <w:rPr>
          <w:rFonts w:ascii="Calibri" w:eastAsia="Calibri" w:hAnsi="Calibri" w:cs="Calibri"/>
        </w:rPr>
        <w:t>MET</w:t>
      </w:r>
      <w:r w:rsidR="6829C101" w:rsidRPr="7536D19F">
        <w:rPr>
          <w:rFonts w:ascii="Calibri" w:eastAsia="Calibri" w:hAnsi="Calibri" w:cs="Calibri"/>
        </w:rPr>
        <w:t>)</w:t>
      </w:r>
      <w:r w:rsidR="6DFF9CB3" w:rsidRPr="7536D19F">
        <w:rPr>
          <w:rFonts w:ascii="Calibri" w:eastAsia="Calibri" w:hAnsi="Calibri" w:cs="Calibri"/>
        </w:rPr>
        <w:t xml:space="preserve">, </w:t>
      </w:r>
      <w:r w:rsidR="6829C101" w:rsidRPr="7536D19F">
        <w:rPr>
          <w:rFonts w:ascii="Calibri" w:eastAsia="Calibri" w:hAnsi="Calibri" w:cs="Calibri"/>
        </w:rPr>
        <w:t>Mutual Capacity Development (</w:t>
      </w:r>
      <w:r w:rsidR="4C42E255" w:rsidRPr="7536D19F">
        <w:rPr>
          <w:rFonts w:ascii="Calibri" w:eastAsia="Calibri" w:hAnsi="Calibri" w:cs="Calibri"/>
        </w:rPr>
        <w:t>MCD</w:t>
      </w:r>
      <w:r w:rsidR="6829C101" w:rsidRPr="7536D19F">
        <w:rPr>
          <w:rFonts w:ascii="Calibri" w:eastAsia="Calibri" w:hAnsi="Calibri" w:cs="Calibri"/>
        </w:rPr>
        <w:t>)</w:t>
      </w:r>
      <w:r w:rsidR="4C42E255" w:rsidRPr="7536D19F">
        <w:rPr>
          <w:rFonts w:ascii="Calibri" w:eastAsia="Calibri" w:hAnsi="Calibri" w:cs="Calibri"/>
        </w:rPr>
        <w:t xml:space="preserve">, </w:t>
      </w:r>
      <w:r w:rsidR="6829C101" w:rsidRPr="7536D19F">
        <w:rPr>
          <w:rFonts w:ascii="Calibri" w:eastAsia="Calibri" w:hAnsi="Calibri" w:cs="Calibri"/>
        </w:rPr>
        <w:t>Linking and Learning (</w:t>
      </w:r>
      <w:r w:rsidR="4C42E255" w:rsidRPr="7536D19F">
        <w:rPr>
          <w:rFonts w:ascii="Calibri" w:eastAsia="Calibri" w:hAnsi="Calibri" w:cs="Calibri"/>
        </w:rPr>
        <w:t>L&amp;L</w:t>
      </w:r>
      <w:r w:rsidR="6829C101" w:rsidRPr="7536D19F">
        <w:rPr>
          <w:rFonts w:ascii="Calibri" w:eastAsia="Calibri" w:hAnsi="Calibri" w:cs="Calibri"/>
        </w:rPr>
        <w:t>)</w:t>
      </w:r>
      <w:r w:rsidR="4C42E255" w:rsidRPr="7536D19F">
        <w:rPr>
          <w:rFonts w:ascii="Calibri" w:eastAsia="Calibri" w:hAnsi="Calibri" w:cs="Calibri"/>
        </w:rPr>
        <w:t xml:space="preserve">, </w:t>
      </w:r>
      <w:r w:rsidR="6829C101" w:rsidRPr="7536D19F">
        <w:rPr>
          <w:rFonts w:ascii="Calibri" w:eastAsia="Calibri" w:hAnsi="Calibri" w:cs="Calibri"/>
        </w:rPr>
        <w:t>Monitoring and Evaluation (</w:t>
      </w:r>
      <w:r w:rsidR="4C42E255" w:rsidRPr="7536D19F">
        <w:rPr>
          <w:rFonts w:ascii="Calibri" w:eastAsia="Calibri" w:hAnsi="Calibri" w:cs="Calibri"/>
        </w:rPr>
        <w:t>M&amp;E</w:t>
      </w:r>
      <w:r w:rsidR="6829C101" w:rsidRPr="7536D19F">
        <w:rPr>
          <w:rFonts w:ascii="Calibri" w:eastAsia="Calibri" w:hAnsi="Calibri" w:cs="Calibri"/>
        </w:rPr>
        <w:t>)</w:t>
      </w:r>
      <w:r w:rsidR="4C42E255" w:rsidRPr="7536D19F">
        <w:rPr>
          <w:rFonts w:ascii="Calibri" w:eastAsia="Calibri" w:hAnsi="Calibri" w:cs="Calibri"/>
        </w:rPr>
        <w:t xml:space="preserve">, Finance, </w:t>
      </w:r>
      <w:r w:rsidR="6829C101" w:rsidRPr="7536D19F">
        <w:rPr>
          <w:rFonts w:ascii="Calibri" w:eastAsia="Calibri" w:hAnsi="Calibri" w:cs="Calibri"/>
        </w:rPr>
        <w:t>and Partnership coordination/</w:t>
      </w:r>
      <w:r w:rsidR="027CD78A" w:rsidRPr="7536D19F">
        <w:rPr>
          <w:rFonts w:ascii="Calibri" w:eastAsia="Calibri" w:hAnsi="Calibri" w:cs="Calibri"/>
        </w:rPr>
        <w:t>”</w:t>
      </w:r>
      <w:r w:rsidR="4C42E255" w:rsidRPr="7536D19F">
        <w:rPr>
          <w:rFonts w:ascii="Calibri" w:eastAsia="Calibri" w:hAnsi="Calibri" w:cs="Calibri"/>
        </w:rPr>
        <w:t>B-team</w:t>
      </w:r>
      <w:r w:rsidR="027CD78A" w:rsidRPr="7536D19F">
        <w:rPr>
          <w:rFonts w:ascii="Calibri" w:eastAsia="Calibri" w:hAnsi="Calibri" w:cs="Calibri"/>
        </w:rPr>
        <w:t>”</w:t>
      </w:r>
      <w:r w:rsidR="6F530FDE" w:rsidRPr="7536D19F">
        <w:rPr>
          <w:rFonts w:ascii="Calibri" w:eastAsia="Calibri" w:hAnsi="Calibri" w:cs="Calibri"/>
        </w:rPr>
        <w:t xml:space="preserve"> </w:t>
      </w:r>
      <w:r w:rsidR="42237609" w:rsidRPr="7536D19F">
        <w:rPr>
          <w:rFonts w:ascii="Calibri" w:eastAsia="Calibri" w:hAnsi="Calibri" w:cs="Calibri"/>
        </w:rPr>
        <w:t xml:space="preserve">created added value </w:t>
      </w:r>
      <w:r w:rsidRPr="7536D19F">
        <w:rPr>
          <w:rFonts w:ascii="Calibri" w:eastAsia="Calibri" w:hAnsi="Calibri" w:cs="Calibri"/>
        </w:rPr>
        <w:t>at</w:t>
      </w:r>
      <w:r w:rsidR="42237609" w:rsidRPr="7536D19F">
        <w:rPr>
          <w:rFonts w:ascii="Calibri" w:eastAsia="Calibri" w:hAnsi="Calibri" w:cs="Calibri"/>
        </w:rPr>
        <w:t xml:space="preserve"> global </w:t>
      </w:r>
      <w:r w:rsidR="4F9EB4A6" w:rsidRPr="7536D19F">
        <w:rPr>
          <w:rFonts w:ascii="Calibri" w:eastAsia="Calibri" w:hAnsi="Calibri" w:cs="Calibri"/>
        </w:rPr>
        <w:t xml:space="preserve">and country </w:t>
      </w:r>
      <w:r w:rsidR="42237609" w:rsidRPr="7536D19F">
        <w:rPr>
          <w:rFonts w:ascii="Calibri" w:eastAsia="Calibri" w:hAnsi="Calibri" w:cs="Calibri"/>
        </w:rPr>
        <w:t>level</w:t>
      </w:r>
      <w:r w:rsidR="17E2AFF3" w:rsidRPr="7536D19F">
        <w:rPr>
          <w:rFonts w:ascii="Calibri" w:eastAsia="Calibri" w:hAnsi="Calibri" w:cs="Calibri"/>
        </w:rPr>
        <w:t>s</w:t>
      </w:r>
      <w:r w:rsidR="42237609" w:rsidRPr="7536D19F">
        <w:rPr>
          <w:rFonts w:ascii="Calibri" w:eastAsia="Calibri" w:hAnsi="Calibri" w:cs="Calibri"/>
        </w:rPr>
        <w:t xml:space="preserve">? </w:t>
      </w:r>
    </w:p>
    <w:p w14:paraId="62FC9BED" w14:textId="4986A043" w:rsidR="00DA5932" w:rsidRDefault="420DB5EB" w:rsidP="0B66298A">
      <w:pPr>
        <w:jc w:val="both"/>
        <w:rPr>
          <w:rFonts w:ascii="Calibri" w:eastAsia="Calibri" w:hAnsi="Calibri" w:cs="Calibri"/>
        </w:rPr>
      </w:pPr>
      <w:r w:rsidRPr="7536D19F">
        <w:rPr>
          <w:rFonts w:ascii="Calibri" w:eastAsia="Calibri" w:hAnsi="Calibri" w:cs="Calibri"/>
        </w:rPr>
        <w:t>2.</w:t>
      </w:r>
      <w:r w:rsidR="7DF4A0CC" w:rsidRPr="7536D19F">
        <w:rPr>
          <w:rFonts w:ascii="Calibri" w:eastAsia="Calibri" w:hAnsi="Calibri" w:cs="Calibri"/>
        </w:rPr>
        <w:t>1.</w:t>
      </w:r>
      <w:r w:rsidR="3A8C7B85" w:rsidRPr="7536D19F">
        <w:rPr>
          <w:rFonts w:ascii="Calibri" w:eastAsia="Calibri" w:hAnsi="Calibri" w:cs="Calibri"/>
        </w:rPr>
        <w:t>2</w:t>
      </w:r>
      <w:r w:rsidRPr="7536D19F">
        <w:rPr>
          <w:rFonts w:ascii="Calibri" w:eastAsia="Calibri" w:hAnsi="Calibri" w:cs="Calibri"/>
        </w:rPr>
        <w:t xml:space="preserve"> How have global teams (L&amp;A, BMET, MCD, L&amp;L, M&amp;E, Finance, B-team) been effective in creating added value at global and country levels? </w:t>
      </w:r>
    </w:p>
    <w:p w14:paraId="76A1A21C" w14:textId="6FCF7095" w:rsidR="00BE7DEC" w:rsidRPr="00B11DC3" w:rsidRDefault="3A8C7B85" w:rsidP="0B66298A">
      <w:pPr>
        <w:jc w:val="both"/>
        <w:rPr>
          <w:rFonts w:ascii="Calibri" w:eastAsia="Calibri" w:hAnsi="Calibri" w:cs="Calibri"/>
        </w:rPr>
      </w:pPr>
      <w:r w:rsidRPr="7536D19F">
        <w:rPr>
          <w:rFonts w:ascii="Calibri" w:eastAsia="Calibri" w:hAnsi="Calibri" w:cs="Calibri"/>
        </w:rPr>
        <w:t>2.</w:t>
      </w:r>
      <w:r w:rsidR="4378F43E" w:rsidRPr="7536D19F">
        <w:rPr>
          <w:rFonts w:ascii="Calibri" w:eastAsia="Calibri" w:hAnsi="Calibri" w:cs="Calibri"/>
        </w:rPr>
        <w:t>1.</w:t>
      </w:r>
      <w:r w:rsidRPr="7536D19F">
        <w:rPr>
          <w:rFonts w:ascii="Calibri" w:eastAsia="Calibri" w:hAnsi="Calibri" w:cs="Calibri"/>
        </w:rPr>
        <w:t>3 How does the global consortium lead</w:t>
      </w:r>
      <w:r w:rsidR="6829C101" w:rsidRPr="7536D19F">
        <w:rPr>
          <w:rFonts w:ascii="Calibri" w:eastAsia="Calibri" w:hAnsi="Calibri" w:cs="Calibri"/>
        </w:rPr>
        <w:t>, The Hunger Project</w:t>
      </w:r>
      <w:r w:rsidRPr="7536D19F">
        <w:rPr>
          <w:rFonts w:ascii="Calibri" w:eastAsia="Calibri" w:hAnsi="Calibri" w:cs="Calibri"/>
        </w:rPr>
        <w:t xml:space="preserve"> (THP) consider its role in contributing towards effective consortium mandate/aim and </w:t>
      </w:r>
      <w:proofErr w:type="spellStart"/>
      <w:r w:rsidRPr="7536D19F">
        <w:rPr>
          <w:rFonts w:ascii="Calibri" w:eastAsia="Calibri" w:hAnsi="Calibri" w:cs="Calibri"/>
        </w:rPr>
        <w:t>programme</w:t>
      </w:r>
      <w:proofErr w:type="spellEnd"/>
      <w:r w:rsidRPr="7536D19F">
        <w:rPr>
          <w:rFonts w:ascii="Calibri" w:eastAsia="Calibri" w:hAnsi="Calibri" w:cs="Calibri"/>
        </w:rPr>
        <w:t xml:space="preserve"> delivery? What are the recommendations on reviewing/enhancing global facilitation, coordination and support?</w:t>
      </w:r>
    </w:p>
    <w:p w14:paraId="4CC614B1" w14:textId="15944A99" w:rsidR="00DA5932" w:rsidRPr="00B11DC3" w:rsidRDefault="52BF8496" w:rsidP="2AFC856B">
      <w:pPr>
        <w:jc w:val="both"/>
        <w:rPr>
          <w:rFonts w:ascii="Calibri" w:eastAsia="Calibri" w:hAnsi="Calibri" w:cs="Calibri"/>
        </w:rPr>
      </w:pPr>
      <w:r w:rsidRPr="7536D19F">
        <w:rPr>
          <w:rFonts w:ascii="Calibri" w:eastAsia="Calibri" w:hAnsi="Calibri" w:cs="Calibri"/>
        </w:rPr>
        <w:t>2.</w:t>
      </w:r>
      <w:r w:rsidR="1F2AEF00" w:rsidRPr="7536D19F">
        <w:rPr>
          <w:rFonts w:ascii="Calibri" w:eastAsia="Calibri" w:hAnsi="Calibri" w:cs="Calibri"/>
        </w:rPr>
        <w:t>1.</w:t>
      </w:r>
      <w:r w:rsidR="3A8C7B85" w:rsidRPr="7536D19F">
        <w:rPr>
          <w:rFonts w:ascii="Calibri" w:eastAsia="Calibri" w:hAnsi="Calibri" w:cs="Calibri"/>
        </w:rPr>
        <w:t>4</w:t>
      </w:r>
      <w:r w:rsidRPr="7536D19F">
        <w:rPr>
          <w:rFonts w:ascii="Calibri" w:eastAsia="Calibri" w:hAnsi="Calibri" w:cs="Calibri"/>
        </w:rPr>
        <w:t xml:space="preserve"> How does current governance structure within R2G influence</w:t>
      </w:r>
      <w:r w:rsidR="24E723D3" w:rsidRPr="7536D19F">
        <w:rPr>
          <w:rFonts w:ascii="Calibri" w:eastAsia="Calibri" w:hAnsi="Calibri" w:cs="Calibri"/>
        </w:rPr>
        <w:t>d</w:t>
      </w:r>
      <w:r w:rsidRPr="7536D19F">
        <w:rPr>
          <w:rFonts w:ascii="Calibri" w:eastAsia="Calibri" w:hAnsi="Calibri" w:cs="Calibri"/>
        </w:rPr>
        <w:t xml:space="preserve"> consortium cooperation, coordination, and communication</w:t>
      </w:r>
      <w:r w:rsidR="0568C160" w:rsidRPr="7536D19F">
        <w:rPr>
          <w:rFonts w:ascii="Calibri" w:eastAsia="Calibri" w:hAnsi="Calibri" w:cs="Calibri"/>
        </w:rPr>
        <w:t xml:space="preserve"> contribute to</w:t>
      </w:r>
      <w:r w:rsidRPr="7536D19F">
        <w:rPr>
          <w:rFonts w:ascii="Calibri" w:eastAsia="Calibri" w:hAnsi="Calibri" w:cs="Calibri"/>
        </w:rPr>
        <w:t xml:space="preserve"> realization of </w:t>
      </w:r>
      <w:proofErr w:type="spellStart"/>
      <w:r w:rsidRPr="7536D19F">
        <w:rPr>
          <w:rFonts w:ascii="Calibri" w:eastAsia="Calibri" w:hAnsi="Calibri" w:cs="Calibri"/>
        </w:rPr>
        <w:t>programme</w:t>
      </w:r>
      <w:proofErr w:type="spellEnd"/>
      <w:r w:rsidRPr="7536D19F">
        <w:rPr>
          <w:rFonts w:ascii="Calibri" w:eastAsia="Calibri" w:hAnsi="Calibri" w:cs="Calibri"/>
        </w:rPr>
        <w:t xml:space="preserve"> goal?</w:t>
      </w:r>
    </w:p>
    <w:p w14:paraId="0B01FD6C" w14:textId="03A15E77" w:rsidR="00504A82" w:rsidRPr="00B11DC3" w:rsidRDefault="6F4AD2B7" w:rsidP="2AFC856B">
      <w:pPr>
        <w:jc w:val="both"/>
        <w:rPr>
          <w:rFonts w:ascii="Calibri" w:eastAsia="Calibri" w:hAnsi="Calibri" w:cs="Calibri"/>
        </w:rPr>
      </w:pPr>
      <w:r w:rsidRPr="7536D19F">
        <w:rPr>
          <w:rFonts w:ascii="Calibri" w:eastAsia="Calibri" w:hAnsi="Calibri" w:cs="Calibri"/>
        </w:rPr>
        <w:t>2.</w:t>
      </w:r>
      <w:r w:rsidR="416DD722" w:rsidRPr="7536D19F">
        <w:rPr>
          <w:rFonts w:ascii="Calibri" w:eastAsia="Calibri" w:hAnsi="Calibri" w:cs="Calibri"/>
        </w:rPr>
        <w:t>1.</w:t>
      </w:r>
      <w:r w:rsidR="3A8C7B85" w:rsidRPr="7536D19F">
        <w:rPr>
          <w:rFonts w:ascii="Calibri" w:eastAsia="Calibri" w:hAnsi="Calibri" w:cs="Calibri"/>
        </w:rPr>
        <w:t>5</w:t>
      </w:r>
      <w:r w:rsidRPr="7536D19F">
        <w:rPr>
          <w:rFonts w:ascii="Calibri" w:eastAsia="Calibri" w:hAnsi="Calibri" w:cs="Calibri"/>
        </w:rPr>
        <w:t xml:space="preserve"> </w:t>
      </w:r>
      <w:r w:rsidR="55511EEA" w:rsidRPr="7536D19F">
        <w:rPr>
          <w:rFonts w:ascii="Calibri" w:eastAsia="Calibri" w:hAnsi="Calibri" w:cs="Calibri"/>
        </w:rPr>
        <w:t>How</w:t>
      </w:r>
      <w:r w:rsidRPr="7536D19F">
        <w:rPr>
          <w:rFonts w:ascii="Calibri" w:eastAsia="Calibri" w:hAnsi="Calibri" w:cs="Calibri"/>
        </w:rPr>
        <w:t xml:space="preserve"> </w:t>
      </w:r>
      <w:r w:rsidR="0DC70809" w:rsidRPr="7536D19F">
        <w:rPr>
          <w:rFonts w:ascii="Calibri" w:eastAsia="Calibri" w:hAnsi="Calibri" w:cs="Calibri"/>
        </w:rPr>
        <w:t>has consortium partners complied with partnership agreement with regard to the following;</w:t>
      </w:r>
    </w:p>
    <w:p w14:paraId="52240279" w14:textId="73DF136F" w:rsidR="00996F7B" w:rsidRPr="00B11DC3" w:rsidRDefault="00996F7B" w:rsidP="006775C2">
      <w:pPr>
        <w:pStyle w:val="Lijstalinea"/>
        <w:numPr>
          <w:ilvl w:val="0"/>
          <w:numId w:val="31"/>
        </w:numPr>
        <w:jc w:val="both"/>
        <w:rPr>
          <w:rFonts w:ascii="Calibri" w:eastAsia="Calibri" w:hAnsi="Calibri" w:cs="Calibri"/>
        </w:rPr>
      </w:pPr>
      <w:r w:rsidRPr="00B11DC3">
        <w:rPr>
          <w:rFonts w:ascii="Calibri" w:eastAsia="Calibri" w:hAnsi="Calibri" w:cs="Calibri"/>
        </w:rPr>
        <w:t xml:space="preserve">How the partners keep each other informed on the progress of the </w:t>
      </w:r>
      <w:proofErr w:type="spellStart"/>
      <w:r w:rsidRPr="00B11DC3">
        <w:rPr>
          <w:rFonts w:ascii="Calibri" w:eastAsia="Calibri" w:hAnsi="Calibri" w:cs="Calibri"/>
        </w:rPr>
        <w:t>programme</w:t>
      </w:r>
      <w:proofErr w:type="spellEnd"/>
      <w:r w:rsidRPr="00B11DC3">
        <w:rPr>
          <w:rFonts w:ascii="Calibri" w:eastAsia="Calibri" w:hAnsi="Calibri" w:cs="Calibri"/>
        </w:rPr>
        <w:t>, but also about their financial health</w:t>
      </w:r>
      <w:r w:rsidR="006775C2" w:rsidRPr="00B11DC3">
        <w:rPr>
          <w:rFonts w:ascii="Calibri" w:eastAsia="Calibri" w:hAnsi="Calibri" w:cs="Calibri"/>
        </w:rPr>
        <w:t>;</w:t>
      </w:r>
    </w:p>
    <w:p w14:paraId="0021F560" w14:textId="4B46BD75" w:rsidR="00996F7B" w:rsidRPr="00B11DC3" w:rsidRDefault="00996F7B" w:rsidP="006775C2">
      <w:pPr>
        <w:pStyle w:val="Lijstalinea"/>
        <w:numPr>
          <w:ilvl w:val="0"/>
          <w:numId w:val="31"/>
        </w:numPr>
        <w:jc w:val="both"/>
        <w:rPr>
          <w:rFonts w:ascii="Calibri" w:eastAsia="Calibri" w:hAnsi="Calibri" w:cs="Calibri"/>
        </w:rPr>
      </w:pPr>
      <w:r w:rsidRPr="00B11DC3">
        <w:rPr>
          <w:rFonts w:ascii="Calibri" w:eastAsia="Calibri" w:hAnsi="Calibri" w:cs="Calibri"/>
        </w:rPr>
        <w:t>How the partnership can be adapted</w:t>
      </w:r>
      <w:r w:rsidR="006775C2" w:rsidRPr="00B11DC3">
        <w:rPr>
          <w:rFonts w:ascii="Calibri" w:eastAsia="Calibri" w:hAnsi="Calibri" w:cs="Calibri"/>
        </w:rPr>
        <w:t>;</w:t>
      </w:r>
    </w:p>
    <w:p w14:paraId="2BA756C3" w14:textId="3824C9F6" w:rsidR="00996F7B" w:rsidRPr="00B11DC3" w:rsidRDefault="006775C2" w:rsidP="006775C2">
      <w:pPr>
        <w:pStyle w:val="Lijstalinea"/>
        <w:numPr>
          <w:ilvl w:val="0"/>
          <w:numId w:val="31"/>
        </w:numPr>
        <w:jc w:val="both"/>
        <w:rPr>
          <w:rFonts w:ascii="Calibri" w:eastAsia="Calibri" w:hAnsi="Calibri" w:cs="Calibri"/>
        </w:rPr>
      </w:pPr>
      <w:r w:rsidRPr="00B11DC3">
        <w:rPr>
          <w:rFonts w:ascii="Calibri" w:eastAsia="Calibri" w:hAnsi="Calibri" w:cs="Calibri"/>
        </w:rPr>
        <w:t>C</w:t>
      </w:r>
      <w:r w:rsidR="00996F7B" w:rsidRPr="00B11DC3">
        <w:rPr>
          <w:rFonts w:ascii="Calibri" w:eastAsia="Calibri" w:hAnsi="Calibri" w:cs="Calibri"/>
        </w:rPr>
        <w:t>onsortium member’s role in monitoring and evaluating progress in the activities for which a grant has been received and, in the projects, financed from the fund</w:t>
      </w:r>
      <w:r w:rsidRPr="00B11DC3">
        <w:rPr>
          <w:rFonts w:ascii="Calibri" w:eastAsia="Calibri" w:hAnsi="Calibri" w:cs="Calibri"/>
        </w:rPr>
        <w:t>;</w:t>
      </w:r>
    </w:p>
    <w:p w14:paraId="425F279A" w14:textId="6F32A909" w:rsidR="74AF1E1E" w:rsidRPr="00B11DC3" w:rsidRDefault="049096E3" w:rsidP="2AFC856B">
      <w:pPr>
        <w:jc w:val="both"/>
        <w:rPr>
          <w:rFonts w:ascii="Calibri" w:eastAsia="Calibri" w:hAnsi="Calibri" w:cs="Calibri"/>
        </w:rPr>
      </w:pPr>
      <w:r w:rsidRPr="7536D19F">
        <w:rPr>
          <w:rFonts w:ascii="Calibri" w:eastAsia="Calibri" w:hAnsi="Calibri" w:cs="Calibri"/>
        </w:rPr>
        <w:t>2</w:t>
      </w:r>
      <w:r w:rsidR="44217E08" w:rsidRPr="7536D19F">
        <w:rPr>
          <w:rFonts w:ascii="Calibri" w:eastAsia="Calibri" w:hAnsi="Calibri" w:cs="Calibri"/>
        </w:rPr>
        <w:t>.</w:t>
      </w:r>
      <w:r w:rsidR="59C29AE6" w:rsidRPr="7536D19F">
        <w:rPr>
          <w:rFonts w:ascii="Calibri" w:eastAsia="Calibri" w:hAnsi="Calibri" w:cs="Calibri"/>
        </w:rPr>
        <w:t>1.</w:t>
      </w:r>
      <w:r w:rsidR="3A8C7B85" w:rsidRPr="7536D19F">
        <w:rPr>
          <w:rFonts w:ascii="Calibri" w:eastAsia="Calibri" w:hAnsi="Calibri" w:cs="Calibri"/>
        </w:rPr>
        <w:t>6</w:t>
      </w:r>
      <w:r w:rsidR="44217E08" w:rsidRPr="7536D19F">
        <w:rPr>
          <w:rFonts w:ascii="Calibri" w:eastAsia="Calibri" w:hAnsi="Calibri" w:cs="Calibri"/>
        </w:rPr>
        <w:t xml:space="preserve"> What have been the strengths and weaknesses of the Partnership in terms of the organizational aspects of </w:t>
      </w:r>
      <w:proofErr w:type="spellStart"/>
      <w:r w:rsidR="44217E08" w:rsidRPr="7536D19F">
        <w:rPr>
          <w:rFonts w:ascii="Calibri" w:eastAsia="Calibri" w:hAnsi="Calibri" w:cs="Calibri"/>
        </w:rPr>
        <w:t>programme</w:t>
      </w:r>
      <w:proofErr w:type="spellEnd"/>
      <w:r w:rsidR="44217E08" w:rsidRPr="7536D19F">
        <w:rPr>
          <w:rFonts w:ascii="Calibri" w:eastAsia="Calibri" w:hAnsi="Calibri" w:cs="Calibri"/>
        </w:rPr>
        <w:t xml:space="preserve"> delivery? </w:t>
      </w:r>
    </w:p>
    <w:p w14:paraId="051F28AE" w14:textId="0E240099" w:rsidR="00DA5932" w:rsidRPr="00B11DC3" w:rsidRDefault="049096E3" w:rsidP="2AFC856B">
      <w:pPr>
        <w:jc w:val="both"/>
      </w:pPr>
      <w:r>
        <w:t>2.</w:t>
      </w:r>
      <w:r w:rsidR="71894ED0">
        <w:t>1.</w:t>
      </w:r>
      <w:r w:rsidR="3A8C7B85">
        <w:t>7</w:t>
      </w:r>
      <w:r>
        <w:t xml:space="preserve"> What are clear changes of roles and responsibilities at institutional and staff level that influence leadership from the south? How are these working and what can be improved?</w:t>
      </w:r>
    </w:p>
    <w:p w14:paraId="3C0B8F7E" w14:textId="73A68C6A" w:rsidR="74AF1E1E" w:rsidRDefault="049096E3" w:rsidP="2AFC856B">
      <w:pPr>
        <w:jc w:val="both"/>
        <w:rPr>
          <w:rFonts w:ascii="Calibri" w:eastAsia="Calibri" w:hAnsi="Calibri" w:cs="Calibri"/>
        </w:rPr>
      </w:pPr>
      <w:r w:rsidRPr="7536D19F">
        <w:rPr>
          <w:rFonts w:ascii="Calibri" w:eastAsia="Calibri" w:hAnsi="Calibri" w:cs="Calibri"/>
        </w:rPr>
        <w:t>2</w:t>
      </w:r>
      <w:r w:rsidR="44217E08" w:rsidRPr="7536D19F">
        <w:rPr>
          <w:rFonts w:ascii="Calibri" w:eastAsia="Calibri" w:hAnsi="Calibri" w:cs="Calibri"/>
        </w:rPr>
        <w:t>.</w:t>
      </w:r>
      <w:r w:rsidR="383E210A" w:rsidRPr="7536D19F">
        <w:rPr>
          <w:rFonts w:ascii="Calibri" w:eastAsia="Calibri" w:hAnsi="Calibri" w:cs="Calibri"/>
        </w:rPr>
        <w:t>1.</w:t>
      </w:r>
      <w:r w:rsidR="3A8C7B85" w:rsidRPr="7536D19F">
        <w:rPr>
          <w:rFonts w:ascii="Calibri" w:eastAsia="Calibri" w:hAnsi="Calibri" w:cs="Calibri"/>
        </w:rPr>
        <w:t>8</w:t>
      </w:r>
      <w:r w:rsidR="44217E08" w:rsidRPr="7536D19F">
        <w:rPr>
          <w:rFonts w:ascii="Calibri" w:eastAsia="Calibri" w:hAnsi="Calibri" w:cs="Calibri"/>
        </w:rPr>
        <w:t xml:space="preserve"> What has been the added value of the Ministry of Foreign Affairs (MFA), and separately, of its embassies, to the Partnership? And what is the value added of this Partnership to the MFA?</w:t>
      </w:r>
    </w:p>
    <w:p w14:paraId="5DE42C54" w14:textId="5915FAC3" w:rsidR="00A8607C" w:rsidRDefault="417598C2" w:rsidP="2AFC856B">
      <w:pPr>
        <w:jc w:val="both"/>
        <w:rPr>
          <w:rFonts w:ascii="Calibri" w:eastAsia="Calibri" w:hAnsi="Calibri" w:cs="Calibri"/>
        </w:rPr>
      </w:pPr>
      <w:r w:rsidRPr="7536D19F">
        <w:rPr>
          <w:rFonts w:ascii="Calibri" w:eastAsia="Calibri" w:hAnsi="Calibri" w:cs="Calibri"/>
        </w:rPr>
        <w:t>2.</w:t>
      </w:r>
      <w:r w:rsidR="550B98F6" w:rsidRPr="7536D19F">
        <w:rPr>
          <w:rFonts w:ascii="Calibri" w:eastAsia="Calibri" w:hAnsi="Calibri" w:cs="Calibri"/>
        </w:rPr>
        <w:t>1.</w:t>
      </w:r>
      <w:r w:rsidRPr="7536D19F">
        <w:rPr>
          <w:rFonts w:ascii="Calibri" w:eastAsia="Calibri" w:hAnsi="Calibri" w:cs="Calibri"/>
        </w:rPr>
        <w:t xml:space="preserve">9 What are recommendations for enhancing partnership and collaboration at global level to enhance </w:t>
      </w:r>
      <w:proofErr w:type="spellStart"/>
      <w:r w:rsidRPr="7536D19F">
        <w:rPr>
          <w:rFonts w:ascii="Calibri" w:eastAsia="Calibri" w:hAnsi="Calibri" w:cs="Calibri"/>
        </w:rPr>
        <w:t>programme</w:t>
      </w:r>
      <w:proofErr w:type="spellEnd"/>
      <w:r w:rsidRPr="7536D19F">
        <w:rPr>
          <w:rFonts w:ascii="Calibri" w:eastAsia="Calibri" w:hAnsi="Calibri" w:cs="Calibri"/>
        </w:rPr>
        <w:t xml:space="preserve"> delivery?</w:t>
      </w:r>
    </w:p>
    <w:p w14:paraId="2497DF77" w14:textId="15A132D8" w:rsidR="4B009C2B" w:rsidRDefault="4B009C2B" w:rsidP="7536D19F">
      <w:pPr>
        <w:jc w:val="both"/>
        <w:rPr>
          <w:rFonts w:ascii="Calibri" w:eastAsia="Calibri" w:hAnsi="Calibri" w:cs="Calibri"/>
          <w:b/>
          <w:bCs/>
        </w:rPr>
      </w:pPr>
      <w:r w:rsidRPr="7536D19F">
        <w:rPr>
          <w:rFonts w:ascii="Calibri" w:eastAsia="Calibri" w:hAnsi="Calibri" w:cs="Calibri"/>
          <w:b/>
          <w:bCs/>
        </w:rPr>
        <w:t>2.2</w:t>
      </w:r>
      <w:r w:rsidR="12C24D5E" w:rsidRPr="7536D19F">
        <w:rPr>
          <w:rFonts w:ascii="Calibri" w:eastAsia="Calibri" w:hAnsi="Calibri" w:cs="Calibri"/>
          <w:b/>
          <w:bCs/>
        </w:rPr>
        <w:t xml:space="preserve"> Adaptive management (external review)</w:t>
      </w:r>
    </w:p>
    <w:p w14:paraId="07B67C7C" w14:textId="2CAC7B37" w:rsidR="6431B27D" w:rsidRDefault="6431B27D" w:rsidP="7536D19F">
      <w:pPr>
        <w:jc w:val="both"/>
        <w:rPr>
          <w:rFonts w:ascii="Calibri" w:eastAsia="Calibri" w:hAnsi="Calibri" w:cs="Calibri"/>
        </w:rPr>
      </w:pPr>
      <w:r w:rsidRPr="7536D19F">
        <w:rPr>
          <w:rFonts w:ascii="Calibri" w:eastAsia="Calibri" w:hAnsi="Calibri" w:cs="Calibri"/>
        </w:rPr>
        <w:t>2.2</w:t>
      </w:r>
      <w:r w:rsidR="12C24D5E" w:rsidRPr="7536D19F">
        <w:rPr>
          <w:rFonts w:ascii="Calibri" w:eastAsia="Calibri" w:hAnsi="Calibri" w:cs="Calibri"/>
        </w:rPr>
        <w:t>.1 How are global themes (L&amp;A, BMET, MCD, M&amp;E, L&amp;L) aligned with and provide support to the principles of adaptive management approach</w:t>
      </w:r>
      <w:r w:rsidRPr="7536D19F">
        <w:rPr>
          <w:rStyle w:val="Voetnootmarkering"/>
          <w:rFonts w:ascii="Calibri" w:eastAsia="Calibri" w:hAnsi="Calibri" w:cs="Calibri"/>
        </w:rPr>
        <w:footnoteReference w:id="4"/>
      </w:r>
      <w:r w:rsidR="12C24D5E" w:rsidRPr="7536D19F">
        <w:rPr>
          <w:rFonts w:ascii="Calibri" w:eastAsia="Calibri" w:hAnsi="Calibri" w:cs="Calibri"/>
        </w:rPr>
        <w:t xml:space="preserve"> of the </w:t>
      </w:r>
      <w:proofErr w:type="spellStart"/>
      <w:r w:rsidR="12C24D5E" w:rsidRPr="7536D19F">
        <w:rPr>
          <w:rFonts w:ascii="Calibri" w:eastAsia="Calibri" w:hAnsi="Calibri" w:cs="Calibri"/>
        </w:rPr>
        <w:t>programme</w:t>
      </w:r>
      <w:proofErr w:type="spellEnd"/>
      <w:r w:rsidR="12C24D5E" w:rsidRPr="7536D19F">
        <w:rPr>
          <w:rFonts w:ascii="Calibri" w:eastAsia="Calibri" w:hAnsi="Calibri" w:cs="Calibri"/>
        </w:rPr>
        <w:t>?</w:t>
      </w:r>
    </w:p>
    <w:p w14:paraId="14F86303" w14:textId="45A8AC93" w:rsidR="17EB8CA1" w:rsidRDefault="17EB8CA1" w:rsidP="7536D19F">
      <w:pPr>
        <w:jc w:val="both"/>
        <w:rPr>
          <w:rFonts w:ascii="Calibri" w:eastAsia="Calibri" w:hAnsi="Calibri" w:cs="Calibri"/>
        </w:rPr>
      </w:pPr>
      <w:r w:rsidRPr="7536D19F">
        <w:rPr>
          <w:rFonts w:ascii="Calibri" w:eastAsia="Calibri" w:hAnsi="Calibri" w:cs="Calibri"/>
        </w:rPr>
        <w:t>2.2</w:t>
      </w:r>
      <w:r w:rsidR="12C24D5E" w:rsidRPr="7536D19F">
        <w:rPr>
          <w:rFonts w:ascii="Calibri" w:eastAsia="Calibri" w:hAnsi="Calibri" w:cs="Calibri"/>
        </w:rPr>
        <w:t>.</w:t>
      </w:r>
      <w:r w:rsidR="4CFB6F89" w:rsidRPr="7536D19F">
        <w:rPr>
          <w:rFonts w:ascii="Calibri" w:eastAsia="Calibri" w:hAnsi="Calibri" w:cs="Calibri"/>
        </w:rPr>
        <w:t>2</w:t>
      </w:r>
      <w:r w:rsidR="12C24D5E" w:rsidRPr="7536D19F">
        <w:rPr>
          <w:rFonts w:ascii="Calibri" w:eastAsia="Calibri" w:hAnsi="Calibri" w:cs="Calibri"/>
        </w:rPr>
        <w:t xml:space="preserve"> How have cost structures across global partners been informed by principles of adaptive management approach of the </w:t>
      </w:r>
      <w:proofErr w:type="spellStart"/>
      <w:r w:rsidR="12C24D5E" w:rsidRPr="7536D19F">
        <w:rPr>
          <w:rFonts w:ascii="Calibri" w:eastAsia="Calibri" w:hAnsi="Calibri" w:cs="Calibri"/>
        </w:rPr>
        <w:t>programme</w:t>
      </w:r>
      <w:proofErr w:type="spellEnd"/>
      <w:r w:rsidR="12C24D5E" w:rsidRPr="7536D19F">
        <w:rPr>
          <w:rFonts w:ascii="Calibri" w:eastAsia="Calibri" w:hAnsi="Calibri" w:cs="Calibri"/>
        </w:rPr>
        <w:t>? How has this worked and what needs to be improved?</w:t>
      </w:r>
    </w:p>
    <w:p w14:paraId="6BF307D9" w14:textId="097094A4" w:rsidR="16F33654" w:rsidRDefault="16F33654" w:rsidP="7536D19F">
      <w:pPr>
        <w:jc w:val="both"/>
        <w:rPr>
          <w:rFonts w:ascii="Calibri" w:eastAsia="Calibri" w:hAnsi="Calibri" w:cs="Calibri"/>
        </w:rPr>
      </w:pPr>
      <w:r w:rsidRPr="7536D19F">
        <w:rPr>
          <w:rFonts w:ascii="Calibri" w:eastAsia="Calibri" w:hAnsi="Calibri" w:cs="Calibri"/>
        </w:rPr>
        <w:lastRenderedPageBreak/>
        <w:t>2.2.3</w:t>
      </w:r>
      <w:r w:rsidR="12C24D5E" w:rsidRPr="7536D19F">
        <w:rPr>
          <w:rFonts w:ascii="Calibri" w:eastAsia="Calibri" w:hAnsi="Calibri" w:cs="Calibri"/>
        </w:rPr>
        <w:t xml:space="preserve"> How have adaptive management principles been applied in partnership organization with regard to global roles and joint steering at global level?</w:t>
      </w:r>
    </w:p>
    <w:p w14:paraId="5CC33D59" w14:textId="07268939" w:rsidR="369C096A" w:rsidRDefault="369C096A" w:rsidP="7536D19F">
      <w:pPr>
        <w:jc w:val="both"/>
        <w:rPr>
          <w:rFonts w:ascii="Calibri" w:eastAsia="Calibri" w:hAnsi="Calibri" w:cs="Calibri"/>
        </w:rPr>
      </w:pPr>
      <w:r w:rsidRPr="7536D19F">
        <w:rPr>
          <w:rFonts w:ascii="Calibri" w:eastAsia="Calibri" w:hAnsi="Calibri" w:cs="Calibri"/>
        </w:rPr>
        <w:t xml:space="preserve">2.2.4 </w:t>
      </w:r>
      <w:r w:rsidR="12C24D5E" w:rsidRPr="7536D19F">
        <w:rPr>
          <w:rFonts w:ascii="Calibri" w:eastAsia="Calibri" w:hAnsi="Calibri" w:cs="Calibri"/>
        </w:rPr>
        <w:t xml:space="preserve">What are recommendations towards integrating and sustaining adaptive management principles in the </w:t>
      </w:r>
      <w:proofErr w:type="spellStart"/>
      <w:r w:rsidR="12C24D5E" w:rsidRPr="7536D19F">
        <w:rPr>
          <w:rFonts w:ascii="Calibri" w:eastAsia="Calibri" w:hAnsi="Calibri" w:cs="Calibri"/>
        </w:rPr>
        <w:t>programme</w:t>
      </w:r>
      <w:proofErr w:type="spellEnd"/>
      <w:r w:rsidR="12C24D5E" w:rsidRPr="7536D19F">
        <w:rPr>
          <w:rFonts w:ascii="Calibri" w:eastAsia="Calibri" w:hAnsi="Calibri" w:cs="Calibri"/>
        </w:rPr>
        <w:t>?</w:t>
      </w:r>
    </w:p>
    <w:p w14:paraId="636B45DB" w14:textId="7B4F8F87" w:rsidR="7C4A2B25" w:rsidRDefault="7C4A2B25" w:rsidP="7536D19F">
      <w:pPr>
        <w:jc w:val="both"/>
        <w:rPr>
          <w:rFonts w:ascii="Calibri" w:eastAsia="Calibri" w:hAnsi="Calibri" w:cs="Calibri"/>
          <w:b/>
          <w:bCs/>
        </w:rPr>
      </w:pPr>
      <w:r w:rsidRPr="7536D19F">
        <w:rPr>
          <w:rFonts w:ascii="Calibri" w:eastAsia="Calibri" w:hAnsi="Calibri" w:cs="Calibri"/>
          <w:b/>
          <w:bCs/>
        </w:rPr>
        <w:t>2.3</w:t>
      </w:r>
      <w:r w:rsidR="12C24D5E" w:rsidRPr="7536D19F">
        <w:rPr>
          <w:rFonts w:ascii="Calibri" w:eastAsia="Calibri" w:hAnsi="Calibri" w:cs="Calibri"/>
          <w:b/>
          <w:bCs/>
        </w:rPr>
        <w:t xml:space="preserve"> Shift the Power (external review)</w:t>
      </w:r>
    </w:p>
    <w:p w14:paraId="64709762" w14:textId="7E46BF2B" w:rsidR="42AA900E" w:rsidRDefault="42AA900E" w:rsidP="7536D19F">
      <w:pPr>
        <w:jc w:val="both"/>
        <w:rPr>
          <w:rFonts w:ascii="Calibri" w:eastAsia="Calibri" w:hAnsi="Calibri" w:cs="Calibri"/>
        </w:rPr>
      </w:pPr>
      <w:r w:rsidRPr="7536D19F">
        <w:rPr>
          <w:rFonts w:ascii="Calibri" w:eastAsia="Calibri" w:hAnsi="Calibri" w:cs="Calibri"/>
        </w:rPr>
        <w:t>2.3</w:t>
      </w:r>
      <w:r w:rsidR="12C24D5E" w:rsidRPr="7536D19F">
        <w:rPr>
          <w:rFonts w:ascii="Calibri" w:eastAsia="Calibri" w:hAnsi="Calibri" w:cs="Calibri"/>
        </w:rPr>
        <w:t xml:space="preserve">.1 How have power imbalances in the Partnership been addressed, and how is Leading from the South/localization being advanced in the Partnership? </w:t>
      </w:r>
    </w:p>
    <w:p w14:paraId="6A10EA15" w14:textId="67709492" w:rsidR="03771660" w:rsidRDefault="03771660" w:rsidP="7536D19F">
      <w:pPr>
        <w:jc w:val="both"/>
        <w:rPr>
          <w:rFonts w:ascii="Calibri" w:eastAsia="Calibri" w:hAnsi="Calibri" w:cs="Calibri"/>
        </w:rPr>
      </w:pPr>
      <w:r w:rsidRPr="7536D19F">
        <w:rPr>
          <w:rFonts w:ascii="Calibri" w:eastAsia="Calibri" w:hAnsi="Calibri" w:cs="Calibri"/>
        </w:rPr>
        <w:t>2.3</w:t>
      </w:r>
      <w:r w:rsidR="12C24D5E" w:rsidRPr="7536D19F">
        <w:rPr>
          <w:rFonts w:ascii="Calibri" w:eastAsia="Calibri" w:hAnsi="Calibri" w:cs="Calibri"/>
        </w:rPr>
        <w:t>.2 How are the R2G Consortium Partners, local partners and other R2G actors making progress on their diversity and leadership agendas?</w:t>
      </w:r>
    </w:p>
    <w:p w14:paraId="52A89DEC" w14:textId="30D799AF" w:rsidR="1758C53A" w:rsidRDefault="1758C53A" w:rsidP="7536D19F">
      <w:pPr>
        <w:jc w:val="both"/>
        <w:rPr>
          <w:rFonts w:ascii="Calibri" w:eastAsia="Calibri" w:hAnsi="Calibri" w:cs="Calibri"/>
        </w:rPr>
      </w:pPr>
      <w:r w:rsidRPr="7536D19F">
        <w:rPr>
          <w:rFonts w:ascii="Calibri" w:eastAsia="Calibri" w:hAnsi="Calibri" w:cs="Calibri"/>
        </w:rPr>
        <w:t>2.3</w:t>
      </w:r>
      <w:r w:rsidR="12C24D5E" w:rsidRPr="7536D19F">
        <w:rPr>
          <w:rFonts w:ascii="Calibri" w:eastAsia="Calibri" w:hAnsi="Calibri" w:cs="Calibri"/>
        </w:rPr>
        <w:t xml:space="preserve">.3 What are the recommendations and possible areas of improvement towards Shift the Power in the </w:t>
      </w:r>
      <w:proofErr w:type="spellStart"/>
      <w:r w:rsidR="12C24D5E" w:rsidRPr="7536D19F">
        <w:rPr>
          <w:rFonts w:ascii="Calibri" w:eastAsia="Calibri" w:hAnsi="Calibri" w:cs="Calibri"/>
        </w:rPr>
        <w:t>programme</w:t>
      </w:r>
      <w:proofErr w:type="spellEnd"/>
      <w:r w:rsidR="12C24D5E" w:rsidRPr="7536D19F">
        <w:rPr>
          <w:rFonts w:ascii="Calibri" w:eastAsia="Calibri" w:hAnsi="Calibri" w:cs="Calibri"/>
        </w:rPr>
        <w:t>?</w:t>
      </w:r>
    </w:p>
    <w:p w14:paraId="5F14659A" w14:textId="76D8290F" w:rsidR="7D5C86B6" w:rsidRDefault="7D5C86B6" w:rsidP="7536D19F">
      <w:pPr>
        <w:jc w:val="both"/>
        <w:rPr>
          <w:rFonts w:ascii="Calibri" w:eastAsia="Calibri" w:hAnsi="Calibri" w:cs="Calibri"/>
          <w:b/>
          <w:bCs/>
        </w:rPr>
      </w:pPr>
      <w:r w:rsidRPr="7536D19F">
        <w:rPr>
          <w:rFonts w:ascii="Calibri" w:eastAsia="Calibri" w:hAnsi="Calibri" w:cs="Calibri"/>
          <w:b/>
          <w:bCs/>
        </w:rPr>
        <w:t>2.4</w:t>
      </w:r>
      <w:r w:rsidR="12C24D5E" w:rsidRPr="7536D19F">
        <w:rPr>
          <w:rFonts w:ascii="Calibri" w:eastAsia="Calibri" w:hAnsi="Calibri" w:cs="Calibri"/>
          <w:b/>
          <w:bCs/>
        </w:rPr>
        <w:t xml:space="preserve"> Cross-cutting themes (external review)</w:t>
      </w:r>
    </w:p>
    <w:p w14:paraId="64E20ECD" w14:textId="78170F10" w:rsidR="13A1DCB6" w:rsidRDefault="13A1DCB6" w:rsidP="7536D19F">
      <w:pPr>
        <w:jc w:val="both"/>
        <w:rPr>
          <w:rFonts w:ascii="Calibri" w:eastAsia="Calibri" w:hAnsi="Calibri" w:cs="Calibri"/>
        </w:rPr>
      </w:pPr>
      <w:r w:rsidRPr="7536D19F">
        <w:rPr>
          <w:rFonts w:ascii="Calibri" w:eastAsia="Calibri" w:hAnsi="Calibri" w:cs="Calibri"/>
        </w:rPr>
        <w:t>2.4</w:t>
      </w:r>
      <w:r w:rsidR="12C24D5E" w:rsidRPr="7536D19F">
        <w:rPr>
          <w:rFonts w:ascii="Calibri" w:eastAsia="Calibri" w:hAnsi="Calibri" w:cs="Calibri"/>
        </w:rPr>
        <w:t>.1 How are gender, youth, climate change perspectives incorporated in the project?</w:t>
      </w:r>
    </w:p>
    <w:p w14:paraId="2C9D43F3" w14:textId="6B351B5B" w:rsidR="00967781" w:rsidRDefault="00967781" w:rsidP="7536D19F">
      <w:pPr>
        <w:jc w:val="both"/>
        <w:rPr>
          <w:rFonts w:ascii="Calibri" w:eastAsia="Calibri" w:hAnsi="Calibri" w:cs="Calibri"/>
        </w:rPr>
      </w:pPr>
      <w:r w:rsidRPr="7536D19F">
        <w:rPr>
          <w:rFonts w:ascii="Calibri" w:eastAsia="Calibri" w:hAnsi="Calibri" w:cs="Calibri"/>
        </w:rPr>
        <w:t>2.4</w:t>
      </w:r>
      <w:r w:rsidR="12C24D5E" w:rsidRPr="7536D19F">
        <w:rPr>
          <w:rFonts w:ascii="Calibri" w:eastAsia="Calibri" w:hAnsi="Calibri" w:cs="Calibri"/>
        </w:rPr>
        <w:t>.2 How are the interventions meeting the gender benchmarks for the project?</w:t>
      </w:r>
    </w:p>
    <w:p w14:paraId="1B5C13D5" w14:textId="6E432BA4" w:rsidR="3B764295" w:rsidRDefault="3B764295" w:rsidP="7536D19F">
      <w:pPr>
        <w:jc w:val="both"/>
        <w:rPr>
          <w:rFonts w:ascii="Calibri" w:eastAsia="Calibri" w:hAnsi="Calibri" w:cs="Calibri"/>
        </w:rPr>
      </w:pPr>
      <w:r w:rsidRPr="7536D19F">
        <w:rPr>
          <w:rFonts w:ascii="Calibri" w:eastAsia="Calibri" w:hAnsi="Calibri" w:cs="Calibri"/>
        </w:rPr>
        <w:t>2.4</w:t>
      </w:r>
      <w:r w:rsidR="12C24D5E" w:rsidRPr="7536D19F">
        <w:rPr>
          <w:rFonts w:ascii="Calibri" w:eastAsia="Calibri" w:hAnsi="Calibri" w:cs="Calibri"/>
        </w:rPr>
        <w:t>.3 Which innovations have been initiated/implemented during review period and what is the evidence of their effectiveness?</w:t>
      </w:r>
    </w:p>
    <w:p w14:paraId="7910C552" w14:textId="0DBF7DE7" w:rsidR="74DD2DD1" w:rsidRDefault="74DD2DD1" w:rsidP="7536D19F">
      <w:pPr>
        <w:jc w:val="both"/>
        <w:rPr>
          <w:rFonts w:ascii="Calibri" w:eastAsia="Calibri" w:hAnsi="Calibri" w:cs="Calibri"/>
        </w:rPr>
      </w:pPr>
      <w:r w:rsidRPr="7536D19F">
        <w:rPr>
          <w:rFonts w:ascii="Calibri" w:eastAsia="Calibri" w:hAnsi="Calibri" w:cs="Calibri"/>
        </w:rPr>
        <w:t>2.4</w:t>
      </w:r>
      <w:r w:rsidR="12C24D5E" w:rsidRPr="7536D19F">
        <w:rPr>
          <w:rFonts w:ascii="Calibri" w:eastAsia="Calibri" w:hAnsi="Calibri" w:cs="Calibri"/>
        </w:rPr>
        <w:t xml:space="preserve">.4 What are successes, challenges and lessons learned concerning applying a gender/inclusivity lens, climate change and innovations in both capacity strengthening and advocacy activities which can influence results? </w:t>
      </w:r>
    </w:p>
    <w:p w14:paraId="49740BA4" w14:textId="0EE21291" w:rsidR="0F359350" w:rsidRDefault="0F359350" w:rsidP="7536D19F">
      <w:pPr>
        <w:jc w:val="both"/>
        <w:rPr>
          <w:rFonts w:ascii="Calibri" w:eastAsia="Calibri" w:hAnsi="Calibri" w:cs="Calibri"/>
        </w:rPr>
      </w:pPr>
      <w:r w:rsidRPr="7536D19F">
        <w:rPr>
          <w:rFonts w:ascii="Calibri" w:eastAsia="Calibri" w:hAnsi="Calibri" w:cs="Calibri"/>
        </w:rPr>
        <w:t>2.4</w:t>
      </w:r>
      <w:r w:rsidR="12C24D5E" w:rsidRPr="7536D19F">
        <w:rPr>
          <w:rFonts w:ascii="Calibri" w:eastAsia="Calibri" w:hAnsi="Calibri" w:cs="Calibri"/>
        </w:rPr>
        <w:t xml:space="preserve">.5 What recommendations are suggested to address and sustain cross-cutting themes in the </w:t>
      </w:r>
      <w:proofErr w:type="spellStart"/>
      <w:r w:rsidR="12C24D5E" w:rsidRPr="7536D19F">
        <w:rPr>
          <w:rFonts w:ascii="Calibri" w:eastAsia="Calibri" w:hAnsi="Calibri" w:cs="Calibri"/>
        </w:rPr>
        <w:t>programme</w:t>
      </w:r>
      <w:proofErr w:type="spellEnd"/>
      <w:r w:rsidR="12C24D5E" w:rsidRPr="7536D19F">
        <w:rPr>
          <w:rFonts w:ascii="Calibri" w:eastAsia="Calibri" w:hAnsi="Calibri" w:cs="Calibri"/>
        </w:rPr>
        <w:t>?</w:t>
      </w:r>
    </w:p>
    <w:p w14:paraId="4196308A" w14:textId="1A22B33F" w:rsidR="009157F0" w:rsidRPr="00946B21" w:rsidRDefault="009157F0" w:rsidP="2AFC856B">
      <w:pPr>
        <w:jc w:val="both"/>
        <w:rPr>
          <w:rFonts w:ascii="Calibri" w:eastAsia="Calibri" w:hAnsi="Calibri" w:cs="Calibri"/>
          <w:b/>
          <w:bCs/>
        </w:rPr>
      </w:pPr>
      <w:r w:rsidRPr="00946B21">
        <w:rPr>
          <w:rFonts w:ascii="Calibri" w:eastAsia="Calibri" w:hAnsi="Calibri" w:cs="Calibri"/>
          <w:b/>
          <w:bCs/>
        </w:rPr>
        <w:t>3. Global costs</w:t>
      </w:r>
      <w:r w:rsidR="00D543D3">
        <w:rPr>
          <w:rFonts w:ascii="Calibri" w:eastAsia="Calibri" w:hAnsi="Calibri" w:cs="Calibri"/>
          <w:b/>
          <w:bCs/>
        </w:rPr>
        <w:t xml:space="preserve"> (external review)</w:t>
      </w:r>
    </w:p>
    <w:p w14:paraId="3A724863" w14:textId="7E34F056" w:rsidR="009157F0" w:rsidRDefault="005440A9" w:rsidP="2AFC856B">
      <w:pPr>
        <w:jc w:val="both"/>
        <w:rPr>
          <w:rFonts w:ascii="Calibri" w:eastAsia="Calibri" w:hAnsi="Calibri" w:cs="Calibri"/>
        </w:rPr>
      </w:pPr>
      <w:r>
        <w:rPr>
          <w:rFonts w:ascii="Calibri" w:eastAsia="Calibri" w:hAnsi="Calibri" w:cs="Calibri"/>
        </w:rPr>
        <w:t xml:space="preserve">3.1 </w:t>
      </w:r>
      <w:r w:rsidR="007A6876">
        <w:rPr>
          <w:rFonts w:ascii="Calibri" w:eastAsia="Calibri" w:hAnsi="Calibri" w:cs="Calibri"/>
        </w:rPr>
        <w:t xml:space="preserve">What is the effectiveness of the </w:t>
      </w:r>
      <w:r w:rsidR="0024657A">
        <w:rPr>
          <w:rFonts w:ascii="Calibri" w:eastAsia="Calibri" w:hAnsi="Calibri" w:cs="Calibri"/>
        </w:rPr>
        <w:t xml:space="preserve">cost structure and cost levels of the different global partnership </w:t>
      </w:r>
      <w:r w:rsidR="003A0CD5">
        <w:rPr>
          <w:rFonts w:ascii="Calibri" w:eastAsia="Calibri" w:hAnsi="Calibri" w:cs="Calibri"/>
        </w:rPr>
        <w:t xml:space="preserve">roles and </w:t>
      </w:r>
      <w:r w:rsidR="0024657A">
        <w:rPr>
          <w:rFonts w:ascii="Calibri" w:eastAsia="Calibri" w:hAnsi="Calibri" w:cs="Calibri"/>
        </w:rPr>
        <w:t>functions?</w:t>
      </w:r>
    </w:p>
    <w:p w14:paraId="147DE7B6" w14:textId="448D369D" w:rsidR="002560DA" w:rsidRPr="00B11DC3" w:rsidRDefault="6F5759FB" w:rsidP="2AFC856B">
      <w:pPr>
        <w:jc w:val="both"/>
        <w:rPr>
          <w:rFonts w:ascii="Calibri" w:eastAsia="Calibri" w:hAnsi="Calibri" w:cs="Calibri"/>
        </w:rPr>
      </w:pPr>
      <w:r w:rsidRPr="7536D19F">
        <w:rPr>
          <w:rFonts w:ascii="Calibri" w:eastAsia="Calibri" w:hAnsi="Calibri" w:cs="Calibri"/>
        </w:rPr>
        <w:t xml:space="preserve">3.2 </w:t>
      </w:r>
      <w:r w:rsidR="64905759" w:rsidRPr="7536D19F">
        <w:rPr>
          <w:rFonts w:ascii="Calibri" w:eastAsia="Calibri" w:hAnsi="Calibri" w:cs="Calibri"/>
        </w:rPr>
        <w:t xml:space="preserve">What are recommendations with regards to </w:t>
      </w:r>
      <w:r w:rsidR="0656E023" w:rsidRPr="7536D19F">
        <w:rPr>
          <w:rFonts w:ascii="Calibri" w:eastAsia="Calibri" w:hAnsi="Calibri" w:cs="Calibri"/>
        </w:rPr>
        <w:t xml:space="preserve">the costs structure and cost levels of these roles and functions </w:t>
      </w:r>
      <w:r w:rsidR="1646338D" w:rsidRPr="7536D19F">
        <w:rPr>
          <w:rFonts w:ascii="Calibri" w:eastAsia="Calibri" w:hAnsi="Calibri" w:cs="Calibri"/>
        </w:rPr>
        <w:t xml:space="preserve">for the remainder of the </w:t>
      </w:r>
      <w:proofErr w:type="spellStart"/>
      <w:r w:rsidR="1646338D" w:rsidRPr="7536D19F">
        <w:rPr>
          <w:rFonts w:ascii="Calibri" w:eastAsia="Calibri" w:hAnsi="Calibri" w:cs="Calibri"/>
        </w:rPr>
        <w:t>programme</w:t>
      </w:r>
      <w:proofErr w:type="spellEnd"/>
      <w:r w:rsidR="1646338D" w:rsidRPr="7536D19F">
        <w:rPr>
          <w:rFonts w:ascii="Calibri" w:eastAsia="Calibri" w:hAnsi="Calibri" w:cs="Calibri"/>
        </w:rPr>
        <w:t xml:space="preserve"> period?</w:t>
      </w:r>
    </w:p>
    <w:p w14:paraId="1F3107E3" w14:textId="7026F5AD" w:rsidR="74AF1E1E" w:rsidRPr="00B11DC3" w:rsidRDefault="0A27CD85" w:rsidP="2C465FDF">
      <w:pPr>
        <w:jc w:val="both"/>
        <w:rPr>
          <w:rFonts w:ascii="Calibri" w:eastAsia="Calibri" w:hAnsi="Calibri" w:cs="Calibri"/>
          <w:b/>
          <w:bCs/>
        </w:rPr>
      </w:pPr>
      <w:r w:rsidRPr="7536D19F">
        <w:rPr>
          <w:rFonts w:ascii="Calibri" w:eastAsia="Calibri" w:hAnsi="Calibri" w:cs="Calibri"/>
          <w:b/>
          <w:bCs/>
        </w:rPr>
        <w:t>4</w:t>
      </w:r>
      <w:r w:rsidR="44217E08" w:rsidRPr="7536D19F">
        <w:rPr>
          <w:rFonts w:ascii="Calibri" w:eastAsia="Calibri" w:hAnsi="Calibri" w:cs="Calibri"/>
          <w:b/>
          <w:bCs/>
        </w:rPr>
        <w:t>. Challenges, lessons learned and good practices</w:t>
      </w:r>
      <w:r w:rsidR="06FC0154" w:rsidRPr="7536D19F">
        <w:rPr>
          <w:rFonts w:ascii="Calibri" w:eastAsia="Calibri" w:hAnsi="Calibri" w:cs="Calibri"/>
          <w:b/>
          <w:bCs/>
        </w:rPr>
        <w:t xml:space="preserve"> (mixed review: </w:t>
      </w:r>
      <w:r w:rsidR="795A0E06" w:rsidRPr="7536D19F">
        <w:rPr>
          <w:rFonts w:ascii="Calibri" w:eastAsia="Calibri" w:hAnsi="Calibri" w:cs="Calibri"/>
          <w:b/>
          <w:bCs/>
        </w:rPr>
        <w:t xml:space="preserve">external and </w:t>
      </w:r>
      <w:r w:rsidR="06FC0154" w:rsidRPr="7536D19F">
        <w:rPr>
          <w:rFonts w:ascii="Calibri" w:eastAsia="Calibri" w:hAnsi="Calibri" w:cs="Calibri"/>
          <w:b/>
          <w:bCs/>
        </w:rPr>
        <w:t>internal</w:t>
      </w:r>
      <w:r w:rsidR="795A0E06" w:rsidRPr="7536D19F">
        <w:rPr>
          <w:rFonts w:ascii="Calibri" w:eastAsia="Calibri" w:hAnsi="Calibri" w:cs="Calibri"/>
          <w:b/>
          <w:bCs/>
        </w:rPr>
        <w:t>)</w:t>
      </w:r>
    </w:p>
    <w:p w14:paraId="1BE5B309" w14:textId="0ABC12B7" w:rsidR="74AF1E1E" w:rsidRPr="00B11DC3" w:rsidRDefault="170B54CC" w:rsidP="2AFC856B">
      <w:pPr>
        <w:jc w:val="both"/>
      </w:pPr>
      <w:r w:rsidRPr="7536D19F">
        <w:rPr>
          <w:rFonts w:ascii="Calibri" w:eastAsia="Calibri" w:hAnsi="Calibri" w:cs="Calibri"/>
        </w:rPr>
        <w:t>4</w:t>
      </w:r>
      <w:r w:rsidR="44217E08" w:rsidRPr="7536D19F">
        <w:rPr>
          <w:rFonts w:ascii="Calibri" w:eastAsia="Calibri" w:hAnsi="Calibri" w:cs="Calibri"/>
        </w:rPr>
        <w:t>.</w:t>
      </w:r>
      <w:r w:rsidR="5624BDAD" w:rsidRPr="7536D19F">
        <w:rPr>
          <w:rFonts w:ascii="Calibri" w:eastAsia="Calibri" w:hAnsi="Calibri" w:cs="Calibri"/>
        </w:rPr>
        <w:t>1</w:t>
      </w:r>
      <w:r w:rsidR="44217E08" w:rsidRPr="7536D19F">
        <w:rPr>
          <w:rFonts w:ascii="Calibri" w:eastAsia="Calibri" w:hAnsi="Calibri" w:cs="Calibri"/>
        </w:rPr>
        <w:t xml:space="preserve"> What are the main challenges, lessons learned and good practices emerging regarding the Partnership collaboration?</w:t>
      </w:r>
      <w:r w:rsidR="795A0E06" w:rsidRPr="7536D19F">
        <w:rPr>
          <w:rFonts w:ascii="Calibri" w:eastAsia="Calibri" w:hAnsi="Calibri" w:cs="Calibri"/>
        </w:rPr>
        <w:t xml:space="preserve"> </w:t>
      </w:r>
      <w:r w:rsidR="795A0E06" w:rsidRPr="7536D19F">
        <w:rPr>
          <w:rFonts w:ascii="Calibri" w:eastAsia="Calibri" w:hAnsi="Calibri" w:cs="Calibri"/>
          <w:b/>
          <w:bCs/>
        </w:rPr>
        <w:t>(external review)</w:t>
      </w:r>
    </w:p>
    <w:p w14:paraId="375A37EC" w14:textId="39684011" w:rsidR="74AF1E1E" w:rsidRPr="00B11DC3" w:rsidRDefault="5CE0BB33" w:rsidP="2C465FDF">
      <w:pPr>
        <w:jc w:val="both"/>
        <w:rPr>
          <w:rFonts w:ascii="Calibri" w:eastAsia="Calibri" w:hAnsi="Calibri" w:cs="Calibri"/>
        </w:rPr>
      </w:pPr>
      <w:r w:rsidRPr="7536D19F">
        <w:rPr>
          <w:rFonts w:ascii="Calibri" w:eastAsia="Calibri" w:hAnsi="Calibri" w:cs="Calibri"/>
        </w:rPr>
        <w:t>4</w:t>
      </w:r>
      <w:r w:rsidR="44217E08" w:rsidRPr="7536D19F">
        <w:rPr>
          <w:rFonts w:ascii="Calibri" w:eastAsia="Calibri" w:hAnsi="Calibri" w:cs="Calibri"/>
        </w:rPr>
        <w:t>.</w:t>
      </w:r>
      <w:r w:rsidR="5624BDAD" w:rsidRPr="7536D19F">
        <w:rPr>
          <w:rFonts w:ascii="Calibri" w:eastAsia="Calibri" w:hAnsi="Calibri" w:cs="Calibri"/>
        </w:rPr>
        <w:t>2</w:t>
      </w:r>
      <w:r w:rsidR="44217E08" w:rsidRPr="7536D19F">
        <w:rPr>
          <w:rFonts w:ascii="Calibri" w:eastAsia="Calibri" w:hAnsi="Calibri" w:cs="Calibri"/>
        </w:rPr>
        <w:t xml:space="preserve"> What are the main challenges, lessons learned and good practices emerging regarding the implementation of </w:t>
      </w:r>
      <w:proofErr w:type="spellStart"/>
      <w:r w:rsidR="44217E08" w:rsidRPr="7536D19F">
        <w:rPr>
          <w:rFonts w:ascii="Calibri" w:eastAsia="Calibri" w:hAnsi="Calibri" w:cs="Calibri"/>
        </w:rPr>
        <w:t>programme</w:t>
      </w:r>
      <w:proofErr w:type="spellEnd"/>
      <w:r w:rsidR="44217E08" w:rsidRPr="7536D19F">
        <w:rPr>
          <w:rFonts w:ascii="Calibri" w:eastAsia="Calibri" w:hAnsi="Calibri" w:cs="Calibri"/>
        </w:rPr>
        <w:t xml:space="preserve"> interventions</w:t>
      </w:r>
      <w:r w:rsidR="6829C101" w:rsidRPr="7536D19F">
        <w:rPr>
          <w:rFonts w:ascii="Calibri" w:eastAsia="Calibri" w:hAnsi="Calibri" w:cs="Calibri"/>
        </w:rPr>
        <w:t xml:space="preserve"> at global level</w:t>
      </w:r>
      <w:r w:rsidR="44217E08" w:rsidRPr="7536D19F">
        <w:rPr>
          <w:rFonts w:ascii="Calibri" w:eastAsia="Calibri" w:hAnsi="Calibri" w:cs="Calibri"/>
        </w:rPr>
        <w:t>? What substantive learning can be draw</w:t>
      </w:r>
      <w:r w:rsidR="5C64719A" w:rsidRPr="7536D19F">
        <w:rPr>
          <w:rFonts w:ascii="Calibri" w:eastAsia="Calibri" w:hAnsi="Calibri" w:cs="Calibri"/>
        </w:rPr>
        <w:t>n</w:t>
      </w:r>
      <w:r w:rsidR="44217E08" w:rsidRPr="7536D19F">
        <w:rPr>
          <w:rFonts w:ascii="Calibri" w:eastAsia="Calibri" w:hAnsi="Calibri" w:cs="Calibri"/>
        </w:rPr>
        <w:t xml:space="preserve"> from the </w:t>
      </w:r>
      <w:proofErr w:type="spellStart"/>
      <w:r w:rsidR="44217E08" w:rsidRPr="7536D19F">
        <w:rPr>
          <w:rFonts w:ascii="Calibri" w:eastAsia="Calibri" w:hAnsi="Calibri" w:cs="Calibri"/>
        </w:rPr>
        <w:t>programme</w:t>
      </w:r>
      <w:proofErr w:type="spellEnd"/>
      <w:r w:rsidR="44217E08" w:rsidRPr="7536D19F">
        <w:rPr>
          <w:rFonts w:ascii="Calibri" w:eastAsia="Calibri" w:hAnsi="Calibri" w:cs="Calibri"/>
        </w:rPr>
        <w:t xml:space="preserve"> implementation to date in terms of assumption</w:t>
      </w:r>
      <w:r w:rsidR="5C64719A" w:rsidRPr="7536D19F">
        <w:rPr>
          <w:rFonts w:ascii="Calibri" w:eastAsia="Calibri" w:hAnsi="Calibri" w:cs="Calibri"/>
        </w:rPr>
        <w:t>s</w:t>
      </w:r>
      <w:r w:rsidR="44217E08" w:rsidRPr="7536D19F">
        <w:rPr>
          <w:rFonts w:ascii="Calibri" w:eastAsia="Calibri" w:hAnsi="Calibri" w:cs="Calibri"/>
        </w:rPr>
        <w:t xml:space="preserve"> held and evidence gaps emerging around the relevance and effectiveness of interventions?</w:t>
      </w:r>
      <w:r w:rsidR="795A0E06" w:rsidRPr="7536D19F">
        <w:rPr>
          <w:rFonts w:ascii="Calibri" w:eastAsia="Calibri" w:hAnsi="Calibri" w:cs="Calibri"/>
        </w:rPr>
        <w:t xml:space="preserve"> </w:t>
      </w:r>
      <w:r w:rsidR="795A0E06" w:rsidRPr="7536D19F">
        <w:rPr>
          <w:rFonts w:ascii="Calibri" w:eastAsia="Calibri" w:hAnsi="Calibri" w:cs="Calibri"/>
          <w:b/>
          <w:bCs/>
        </w:rPr>
        <w:t>(</w:t>
      </w:r>
      <w:r w:rsidR="727315E0" w:rsidRPr="7536D19F">
        <w:rPr>
          <w:rFonts w:ascii="Calibri" w:eastAsia="Calibri" w:hAnsi="Calibri" w:cs="Calibri"/>
          <w:b/>
          <w:bCs/>
        </w:rPr>
        <w:t>internal review</w:t>
      </w:r>
      <w:r w:rsidR="795A0E06" w:rsidRPr="7536D19F">
        <w:rPr>
          <w:rFonts w:ascii="Calibri" w:eastAsia="Calibri" w:hAnsi="Calibri" w:cs="Calibri"/>
          <w:b/>
          <w:bCs/>
        </w:rPr>
        <w:t>)</w:t>
      </w:r>
    </w:p>
    <w:p w14:paraId="0ECF3748" w14:textId="0C131212" w:rsidR="74AF1E1E" w:rsidRPr="00B11DC3" w:rsidRDefault="09945CB0" w:rsidP="2C465FDF">
      <w:pPr>
        <w:jc w:val="both"/>
        <w:rPr>
          <w:rFonts w:ascii="Calibri" w:eastAsia="Calibri" w:hAnsi="Calibri" w:cs="Calibri"/>
        </w:rPr>
      </w:pPr>
      <w:r w:rsidRPr="7536D19F">
        <w:rPr>
          <w:rFonts w:ascii="Calibri" w:eastAsia="Calibri" w:hAnsi="Calibri" w:cs="Calibri"/>
        </w:rPr>
        <w:lastRenderedPageBreak/>
        <w:t>4</w:t>
      </w:r>
      <w:r w:rsidR="5624BDAD" w:rsidRPr="7536D19F">
        <w:rPr>
          <w:rFonts w:ascii="Calibri" w:eastAsia="Calibri" w:hAnsi="Calibri" w:cs="Calibri"/>
        </w:rPr>
        <w:t>.3</w:t>
      </w:r>
      <w:r w:rsidR="44217E08" w:rsidRPr="7536D19F">
        <w:rPr>
          <w:rFonts w:ascii="Calibri" w:eastAsia="Calibri" w:hAnsi="Calibri" w:cs="Calibri"/>
        </w:rPr>
        <w:t xml:space="preserve"> What are the main challenges, lessons learned and good practices emerging regarding the monitoring of </w:t>
      </w:r>
      <w:proofErr w:type="spellStart"/>
      <w:r w:rsidR="44217E08" w:rsidRPr="7536D19F">
        <w:rPr>
          <w:rFonts w:ascii="Calibri" w:eastAsia="Calibri" w:hAnsi="Calibri" w:cs="Calibri"/>
        </w:rPr>
        <w:t>programme</w:t>
      </w:r>
      <w:proofErr w:type="spellEnd"/>
      <w:r w:rsidR="44217E08" w:rsidRPr="7536D19F">
        <w:rPr>
          <w:rFonts w:ascii="Calibri" w:eastAsia="Calibri" w:hAnsi="Calibri" w:cs="Calibri"/>
        </w:rPr>
        <w:t xml:space="preserve"> interventions</w:t>
      </w:r>
      <w:r w:rsidR="69A25A9D" w:rsidRPr="7536D19F">
        <w:rPr>
          <w:rFonts w:ascii="Calibri" w:eastAsia="Calibri" w:hAnsi="Calibri" w:cs="Calibri"/>
        </w:rPr>
        <w:t xml:space="preserve"> (L&amp;A, BMET, MCD, L&amp;L)? </w:t>
      </w:r>
      <w:r w:rsidR="44217E08" w:rsidRPr="7536D19F">
        <w:rPr>
          <w:rFonts w:ascii="Calibri" w:eastAsia="Calibri" w:hAnsi="Calibri" w:cs="Calibri"/>
        </w:rPr>
        <w:t>To what extent are the monitoring and reporting system and requirements useful for learning and strategic policy-level exchange within the Partnership?</w:t>
      </w:r>
      <w:r w:rsidR="274BEB98" w:rsidRPr="7536D19F">
        <w:rPr>
          <w:rFonts w:ascii="Calibri" w:eastAsia="Calibri" w:hAnsi="Calibri" w:cs="Calibri"/>
        </w:rPr>
        <w:t xml:space="preserve"> </w:t>
      </w:r>
      <w:r w:rsidR="795A0E06" w:rsidRPr="7536D19F">
        <w:rPr>
          <w:rFonts w:ascii="Calibri" w:eastAsia="Calibri" w:hAnsi="Calibri" w:cs="Calibri"/>
          <w:b/>
          <w:bCs/>
        </w:rPr>
        <w:t>(</w:t>
      </w:r>
      <w:r w:rsidR="3C016BE8" w:rsidRPr="7536D19F">
        <w:rPr>
          <w:rFonts w:ascii="Calibri" w:eastAsia="Calibri" w:hAnsi="Calibri" w:cs="Calibri"/>
          <w:b/>
          <w:bCs/>
        </w:rPr>
        <w:t>internal review</w:t>
      </w:r>
      <w:r w:rsidR="795A0E06" w:rsidRPr="7536D19F">
        <w:rPr>
          <w:rFonts w:ascii="Calibri" w:eastAsia="Calibri" w:hAnsi="Calibri" w:cs="Calibri"/>
          <w:b/>
          <w:bCs/>
        </w:rPr>
        <w:t>)</w:t>
      </w:r>
    </w:p>
    <w:p w14:paraId="3BA1BE6E" w14:textId="12C7CD20" w:rsidR="74AF1E1E" w:rsidRPr="00B11DC3" w:rsidRDefault="510A7802" w:rsidP="2AFC856B">
      <w:pPr>
        <w:jc w:val="both"/>
      </w:pPr>
      <w:r w:rsidRPr="7536D19F">
        <w:rPr>
          <w:rFonts w:ascii="Calibri" w:eastAsia="Calibri" w:hAnsi="Calibri" w:cs="Calibri"/>
        </w:rPr>
        <w:t>4</w:t>
      </w:r>
      <w:r w:rsidR="5624BDAD" w:rsidRPr="7536D19F">
        <w:rPr>
          <w:rFonts w:ascii="Calibri" w:eastAsia="Calibri" w:hAnsi="Calibri" w:cs="Calibri"/>
        </w:rPr>
        <w:t>.4</w:t>
      </w:r>
      <w:r w:rsidR="44217E08" w:rsidRPr="7536D19F">
        <w:rPr>
          <w:rFonts w:ascii="Calibri" w:eastAsia="Calibri" w:hAnsi="Calibri" w:cs="Calibri"/>
        </w:rPr>
        <w:t xml:space="preserve"> Is there evidence that recommendations</w:t>
      </w:r>
      <w:r w:rsidR="69A25A9D" w:rsidRPr="7536D19F">
        <w:rPr>
          <w:rFonts w:ascii="Calibri" w:eastAsia="Calibri" w:hAnsi="Calibri" w:cs="Calibri"/>
        </w:rPr>
        <w:t xml:space="preserve"> from</w:t>
      </w:r>
      <w:r w:rsidR="44217E08" w:rsidRPr="7536D19F">
        <w:rPr>
          <w:rFonts w:ascii="Calibri" w:eastAsia="Calibri" w:hAnsi="Calibri" w:cs="Calibri"/>
        </w:rPr>
        <w:t xml:space="preserve"> internal reflection processes are being followed-up and there is learning from </w:t>
      </w:r>
      <w:r w:rsidR="6829C101" w:rsidRPr="7536D19F">
        <w:rPr>
          <w:rFonts w:ascii="Calibri" w:eastAsia="Calibri" w:hAnsi="Calibri" w:cs="Calibri"/>
        </w:rPr>
        <w:t xml:space="preserve">baseline and </w:t>
      </w:r>
      <w:r w:rsidR="44217E08" w:rsidRPr="7536D19F">
        <w:rPr>
          <w:rFonts w:ascii="Calibri" w:eastAsia="Calibri" w:hAnsi="Calibri" w:cs="Calibri"/>
        </w:rPr>
        <w:t>evaluations and</w:t>
      </w:r>
      <w:r w:rsidR="69A25A9D" w:rsidRPr="7536D19F">
        <w:rPr>
          <w:rFonts w:ascii="Calibri" w:eastAsia="Calibri" w:hAnsi="Calibri" w:cs="Calibri"/>
        </w:rPr>
        <w:t xml:space="preserve">/or </w:t>
      </w:r>
      <w:r w:rsidR="44217E08" w:rsidRPr="7536D19F">
        <w:rPr>
          <w:rFonts w:ascii="Calibri" w:eastAsia="Calibri" w:hAnsi="Calibri" w:cs="Calibri"/>
        </w:rPr>
        <w:t>reviews?</w:t>
      </w:r>
      <w:r w:rsidR="795A0E06" w:rsidRPr="7536D19F">
        <w:rPr>
          <w:rFonts w:ascii="Calibri" w:eastAsia="Calibri" w:hAnsi="Calibri" w:cs="Calibri"/>
          <w:b/>
          <w:bCs/>
        </w:rPr>
        <w:t xml:space="preserve"> (external review)</w:t>
      </w:r>
    </w:p>
    <w:p w14:paraId="6956B3B6" w14:textId="161534D5" w:rsidR="74AF1E1E" w:rsidRDefault="47AEF076" w:rsidP="2AFC856B">
      <w:pPr>
        <w:jc w:val="both"/>
      </w:pPr>
      <w:r w:rsidRPr="0B66298A">
        <w:rPr>
          <w:rFonts w:ascii="Calibri" w:eastAsia="Calibri" w:hAnsi="Calibri" w:cs="Calibri"/>
          <w:b/>
          <w:bCs/>
          <w:color w:val="4600AB"/>
          <w:sz w:val="32"/>
          <w:szCs w:val="32"/>
        </w:rPr>
        <w:t xml:space="preserve">4. Proposed Methodology </w:t>
      </w:r>
    </w:p>
    <w:p w14:paraId="42F3E49F" w14:textId="17505DC0" w:rsidR="00B0113C" w:rsidRPr="00B0113C" w:rsidRDefault="00B0113C" w:rsidP="00B0113C">
      <w:pPr>
        <w:jc w:val="both"/>
        <w:rPr>
          <w:rFonts w:ascii="Calibri" w:eastAsia="Calibri" w:hAnsi="Calibri" w:cs="Calibri"/>
          <w:bCs/>
        </w:rPr>
      </w:pPr>
      <w:r w:rsidRPr="00B0113C">
        <w:rPr>
          <w:rFonts w:ascii="Calibri" w:eastAsia="Calibri" w:hAnsi="Calibri" w:cs="Calibri"/>
          <w:bCs/>
        </w:rPr>
        <w:t xml:space="preserve">The Mid-Term </w:t>
      </w:r>
      <w:r>
        <w:rPr>
          <w:rFonts w:ascii="Calibri" w:eastAsia="Calibri" w:hAnsi="Calibri" w:cs="Calibri"/>
          <w:bCs/>
        </w:rPr>
        <w:t>Review</w:t>
      </w:r>
      <w:r w:rsidRPr="00B0113C">
        <w:rPr>
          <w:rFonts w:ascii="Calibri" w:eastAsia="Calibri" w:hAnsi="Calibri" w:cs="Calibri"/>
          <w:bCs/>
        </w:rPr>
        <w:t xml:space="preserve"> will be mainly qualitative with triangulation of data from all possible sources. Quantitative data (e.g. on outputs and outcomes achieved to date) will be sourced primarily from the information provided in the </w:t>
      </w:r>
      <w:r w:rsidR="00A4604C">
        <w:rPr>
          <w:rFonts w:ascii="Calibri" w:eastAsia="Calibri" w:hAnsi="Calibri" w:cs="Calibri"/>
          <w:bCs/>
        </w:rPr>
        <w:t>periodic</w:t>
      </w:r>
      <w:r w:rsidRPr="00B0113C">
        <w:rPr>
          <w:rFonts w:ascii="Calibri" w:eastAsia="Calibri" w:hAnsi="Calibri" w:cs="Calibri"/>
          <w:bCs/>
        </w:rPr>
        <w:t xml:space="preserve"> reports including the result framework and annual reports.</w:t>
      </w:r>
      <w:r w:rsidR="00A4604C">
        <w:rPr>
          <w:rFonts w:ascii="Calibri" w:eastAsia="Calibri" w:hAnsi="Calibri" w:cs="Calibri"/>
          <w:bCs/>
        </w:rPr>
        <w:t xml:space="preserve"> </w:t>
      </w:r>
      <w:r w:rsidRPr="00B0113C">
        <w:rPr>
          <w:rFonts w:ascii="Calibri" w:eastAsia="Calibri" w:hAnsi="Calibri" w:cs="Calibri"/>
          <w:bCs/>
        </w:rPr>
        <w:t>The firm/consultant</w:t>
      </w:r>
      <w:r w:rsidR="00A4604C">
        <w:rPr>
          <w:rFonts w:ascii="Calibri" w:eastAsia="Calibri" w:hAnsi="Calibri" w:cs="Calibri"/>
          <w:bCs/>
        </w:rPr>
        <w:t>(s)</w:t>
      </w:r>
      <w:r w:rsidRPr="00B0113C">
        <w:rPr>
          <w:rFonts w:ascii="Calibri" w:eastAsia="Calibri" w:hAnsi="Calibri" w:cs="Calibri"/>
          <w:bCs/>
        </w:rPr>
        <w:t xml:space="preserve"> will suggest a rigorous methodology that will be able to provide robust information based on the </w:t>
      </w:r>
      <w:r w:rsidR="00A4604C">
        <w:rPr>
          <w:rFonts w:ascii="Calibri" w:eastAsia="Calibri" w:hAnsi="Calibri" w:cs="Calibri"/>
          <w:bCs/>
        </w:rPr>
        <w:t xml:space="preserve">MTR </w:t>
      </w:r>
      <w:r w:rsidRPr="00B0113C">
        <w:rPr>
          <w:rFonts w:ascii="Calibri" w:eastAsia="Calibri" w:hAnsi="Calibri" w:cs="Calibri"/>
          <w:bCs/>
        </w:rPr>
        <w:t xml:space="preserve">objectives sought. </w:t>
      </w:r>
    </w:p>
    <w:p w14:paraId="798E9442" w14:textId="03404AB2" w:rsidR="00B0113C" w:rsidRPr="00A4604C" w:rsidRDefault="00B0113C" w:rsidP="00B0113C">
      <w:pPr>
        <w:jc w:val="both"/>
        <w:rPr>
          <w:rFonts w:ascii="Calibri" w:eastAsia="Calibri" w:hAnsi="Calibri" w:cs="Calibri"/>
          <w:bCs/>
        </w:rPr>
      </w:pPr>
      <w:r w:rsidRPr="00B0113C">
        <w:rPr>
          <w:rFonts w:ascii="Calibri" w:eastAsia="Calibri" w:hAnsi="Calibri" w:cs="Calibri"/>
          <w:bCs/>
        </w:rPr>
        <w:t xml:space="preserve">To guide the process, the suggested methodology is expected to be making use of both qualitative and quantitative methods to answer the </w:t>
      </w:r>
      <w:r w:rsidR="00A4604C">
        <w:rPr>
          <w:rFonts w:ascii="Calibri" w:eastAsia="Calibri" w:hAnsi="Calibri" w:cs="Calibri"/>
          <w:bCs/>
        </w:rPr>
        <w:t>MTR</w:t>
      </w:r>
      <w:r w:rsidRPr="00B0113C">
        <w:rPr>
          <w:rFonts w:ascii="Calibri" w:eastAsia="Calibri" w:hAnsi="Calibri" w:cs="Calibri"/>
          <w:bCs/>
        </w:rPr>
        <w:t xml:space="preserve"> questions. The methodology will also be expected to reveal and understand not only the “what” and the “how”, but also to place more emphasis on exploring the “why”? The approach should be able to ensure a broad outreach of stakeholders involved, allow for cross-validation of the findings as the Mid-Term </w:t>
      </w:r>
      <w:r w:rsidR="00A4604C">
        <w:rPr>
          <w:rFonts w:ascii="Calibri" w:eastAsia="Calibri" w:hAnsi="Calibri" w:cs="Calibri"/>
          <w:bCs/>
        </w:rPr>
        <w:t>Review</w:t>
      </w:r>
      <w:r w:rsidRPr="00B0113C">
        <w:rPr>
          <w:rFonts w:ascii="Calibri" w:eastAsia="Calibri" w:hAnsi="Calibri" w:cs="Calibri"/>
          <w:bCs/>
        </w:rPr>
        <w:t xml:space="preserve"> progress and, equally important, eventually contribute to a higher buy-in of the Mid-Term </w:t>
      </w:r>
      <w:r w:rsidR="00A4604C">
        <w:rPr>
          <w:rFonts w:ascii="Calibri" w:eastAsia="Calibri" w:hAnsi="Calibri" w:cs="Calibri"/>
          <w:bCs/>
        </w:rPr>
        <w:t>Review</w:t>
      </w:r>
      <w:r w:rsidRPr="00B0113C">
        <w:rPr>
          <w:rFonts w:ascii="Calibri" w:eastAsia="Calibri" w:hAnsi="Calibri" w:cs="Calibri"/>
          <w:bCs/>
        </w:rPr>
        <w:t xml:space="preserve"> findings by all stakeholders involved.</w:t>
      </w:r>
    </w:p>
    <w:p w14:paraId="344CCF30" w14:textId="215E7978" w:rsidR="00CA4DF1" w:rsidRPr="00B11DC3" w:rsidRDefault="37BA2015" w:rsidP="00CA4DF1">
      <w:pPr>
        <w:jc w:val="both"/>
      </w:pPr>
      <w:r w:rsidRPr="7536D19F">
        <w:rPr>
          <w:rFonts w:ascii="Calibri" w:eastAsia="Calibri" w:hAnsi="Calibri" w:cs="Calibri"/>
          <w:b/>
          <w:bCs/>
        </w:rPr>
        <w:t xml:space="preserve">For the external </w:t>
      </w:r>
      <w:r w:rsidR="50E8A6D8" w:rsidRPr="7536D19F">
        <w:rPr>
          <w:rFonts w:ascii="Calibri" w:eastAsia="Calibri" w:hAnsi="Calibri" w:cs="Calibri"/>
          <w:b/>
          <w:bCs/>
        </w:rPr>
        <w:t xml:space="preserve">review </w:t>
      </w:r>
      <w:r w:rsidRPr="7536D19F">
        <w:rPr>
          <w:rFonts w:ascii="Calibri" w:eastAsia="Calibri" w:hAnsi="Calibri" w:cs="Calibri"/>
          <w:b/>
          <w:bCs/>
        </w:rPr>
        <w:t>components</w:t>
      </w:r>
      <w:r w:rsidRPr="7536D19F">
        <w:rPr>
          <w:rFonts w:ascii="Calibri" w:eastAsia="Calibri" w:hAnsi="Calibri" w:cs="Calibri"/>
        </w:rPr>
        <w:t>, a</w:t>
      </w:r>
      <w:r w:rsidR="25D62C6E" w:rsidRPr="7536D19F">
        <w:rPr>
          <w:rFonts w:ascii="Calibri" w:eastAsia="Calibri" w:hAnsi="Calibri" w:cs="Calibri"/>
        </w:rPr>
        <w:t xml:space="preserve">n </w:t>
      </w:r>
      <w:r w:rsidR="44217E08" w:rsidRPr="7536D19F">
        <w:rPr>
          <w:rFonts w:ascii="Calibri" w:eastAsia="Calibri" w:hAnsi="Calibri" w:cs="Calibri"/>
        </w:rPr>
        <w:t xml:space="preserve">external consultant will be selected to conduct the review through a restricted request for bids. </w:t>
      </w:r>
      <w:r w:rsidR="07DEA3F6" w:rsidRPr="7536D19F">
        <w:rPr>
          <w:rFonts w:ascii="Calibri" w:eastAsia="Calibri" w:hAnsi="Calibri" w:cs="Calibri"/>
        </w:rPr>
        <w:t xml:space="preserve">For </w:t>
      </w:r>
      <w:r w:rsidR="07DEA3F6" w:rsidRPr="7536D19F">
        <w:rPr>
          <w:rFonts w:ascii="Calibri" w:eastAsia="Calibri" w:hAnsi="Calibri" w:cs="Calibri"/>
          <w:b/>
          <w:bCs/>
        </w:rPr>
        <w:t>the internal review components</w:t>
      </w:r>
      <w:r w:rsidR="07DEA3F6" w:rsidRPr="7536D19F">
        <w:rPr>
          <w:rFonts w:ascii="Calibri" w:eastAsia="Calibri" w:hAnsi="Calibri" w:cs="Calibri"/>
        </w:rPr>
        <w:t xml:space="preserve">, the global MTR taskforce will </w:t>
      </w:r>
      <w:r w:rsidR="0B8FC578" w:rsidRPr="7536D19F">
        <w:rPr>
          <w:rFonts w:ascii="Calibri" w:eastAsia="Calibri" w:hAnsi="Calibri" w:cs="Calibri"/>
        </w:rPr>
        <w:t>establish an internal</w:t>
      </w:r>
      <w:r w:rsidR="07DEA3F6" w:rsidRPr="7536D19F">
        <w:rPr>
          <w:rFonts w:ascii="Calibri" w:eastAsia="Calibri" w:hAnsi="Calibri" w:cs="Calibri"/>
        </w:rPr>
        <w:t xml:space="preserve"> review group, </w:t>
      </w:r>
      <w:r w:rsidR="5DC9444D" w:rsidRPr="7536D19F">
        <w:rPr>
          <w:rFonts w:ascii="Calibri" w:eastAsia="Calibri" w:hAnsi="Calibri" w:cs="Calibri"/>
        </w:rPr>
        <w:t>before end of February 2023</w:t>
      </w:r>
      <w:r w:rsidR="07DEA3F6" w:rsidRPr="7536D19F">
        <w:rPr>
          <w:rFonts w:ascii="Calibri" w:eastAsia="Calibri" w:hAnsi="Calibri" w:cs="Calibri"/>
        </w:rPr>
        <w:t>.</w:t>
      </w:r>
    </w:p>
    <w:p w14:paraId="4DD254D3" w14:textId="01B537E9" w:rsidR="74AF1E1E" w:rsidRPr="00B11DC3" w:rsidRDefault="74AF1E1E" w:rsidP="2AFC856B">
      <w:pPr>
        <w:jc w:val="both"/>
      </w:pPr>
      <w:r w:rsidRPr="00B11DC3">
        <w:rPr>
          <w:rFonts w:ascii="Calibri" w:eastAsia="Calibri" w:hAnsi="Calibri" w:cs="Calibri"/>
        </w:rPr>
        <w:t>The Mid-Term Review will be conducted through:</w:t>
      </w:r>
    </w:p>
    <w:p w14:paraId="299AC50D" w14:textId="6D666B67" w:rsidR="74AF1E1E" w:rsidRPr="00B11DC3" w:rsidRDefault="74AF1E1E" w:rsidP="2AFC856B">
      <w:pPr>
        <w:pStyle w:val="Lijstalinea"/>
        <w:numPr>
          <w:ilvl w:val="0"/>
          <w:numId w:val="2"/>
        </w:numPr>
        <w:jc w:val="both"/>
        <w:rPr>
          <w:rFonts w:ascii="Calibri" w:eastAsia="Calibri" w:hAnsi="Calibri" w:cs="Calibri"/>
        </w:rPr>
      </w:pPr>
      <w:r w:rsidRPr="2C465FDF">
        <w:rPr>
          <w:rFonts w:ascii="Calibri" w:eastAsia="Calibri" w:hAnsi="Calibri" w:cs="Calibri"/>
        </w:rPr>
        <w:t>Desk study of available general documentation on the</w:t>
      </w:r>
      <w:r w:rsidR="00D326F3">
        <w:rPr>
          <w:rFonts w:ascii="Calibri" w:eastAsia="Calibri" w:hAnsi="Calibri" w:cs="Calibri"/>
        </w:rPr>
        <w:t xml:space="preserve"> Dutch Ministry of Foreign Affairs -</w:t>
      </w:r>
      <w:r w:rsidRPr="2C465FDF">
        <w:rPr>
          <w:rFonts w:ascii="Calibri" w:eastAsia="Calibri" w:hAnsi="Calibri" w:cs="Calibri"/>
        </w:rPr>
        <w:t xml:space="preserve"> </w:t>
      </w:r>
      <w:r w:rsidR="00A4604C" w:rsidRPr="00A4604C">
        <w:rPr>
          <w:rFonts w:ascii="Calibri" w:eastAsia="Calibri" w:hAnsi="Calibri" w:cs="Calibri"/>
        </w:rPr>
        <w:t xml:space="preserve">Social Development Department </w:t>
      </w:r>
      <w:r w:rsidR="00A4604C">
        <w:rPr>
          <w:rFonts w:ascii="Calibri" w:eastAsia="Calibri" w:hAnsi="Calibri" w:cs="Calibri"/>
        </w:rPr>
        <w:t>(</w:t>
      </w:r>
      <w:r w:rsidRPr="2C465FDF">
        <w:rPr>
          <w:rFonts w:ascii="Calibri" w:eastAsia="Calibri" w:hAnsi="Calibri" w:cs="Calibri"/>
        </w:rPr>
        <w:t>DSO</w:t>
      </w:r>
      <w:r w:rsidR="00A4604C">
        <w:rPr>
          <w:rFonts w:ascii="Calibri" w:eastAsia="Calibri" w:hAnsi="Calibri" w:cs="Calibri"/>
        </w:rPr>
        <w:t>)</w:t>
      </w:r>
      <w:r w:rsidRPr="2C465FDF">
        <w:rPr>
          <w:rFonts w:ascii="Calibri" w:eastAsia="Calibri" w:hAnsi="Calibri" w:cs="Calibri"/>
        </w:rPr>
        <w:t xml:space="preserve"> and Results Frameworks</w:t>
      </w:r>
      <w:r w:rsidR="23925BBF" w:rsidRPr="2C465FDF">
        <w:rPr>
          <w:rFonts w:ascii="Calibri" w:eastAsia="Calibri" w:hAnsi="Calibri" w:cs="Calibri"/>
        </w:rPr>
        <w:t>, global plans and reports</w:t>
      </w:r>
      <w:r w:rsidRPr="2C465FDF">
        <w:rPr>
          <w:rFonts w:ascii="Calibri" w:eastAsia="Calibri" w:hAnsi="Calibri" w:cs="Calibri"/>
        </w:rPr>
        <w:t>;</w:t>
      </w:r>
    </w:p>
    <w:p w14:paraId="5ECAFDBE" w14:textId="66FDB659" w:rsidR="74AF1E1E" w:rsidRPr="00B3710B" w:rsidRDefault="47AEF076" w:rsidP="2AFC856B">
      <w:pPr>
        <w:pStyle w:val="Lijstalinea"/>
        <w:numPr>
          <w:ilvl w:val="0"/>
          <w:numId w:val="2"/>
        </w:numPr>
        <w:jc w:val="both"/>
        <w:rPr>
          <w:rFonts w:eastAsia="Calibri"/>
        </w:rPr>
      </w:pPr>
      <w:r w:rsidRPr="0B66298A">
        <w:rPr>
          <w:rFonts w:eastAsia="Calibri"/>
        </w:rPr>
        <w:t>Interviews with R2G Steering Committee members</w:t>
      </w:r>
      <w:r w:rsidR="00CA100B">
        <w:rPr>
          <w:rFonts w:eastAsia="Calibri"/>
        </w:rPr>
        <w:t xml:space="preserve"> (12 members)</w:t>
      </w:r>
      <w:r w:rsidR="0CAC5A94" w:rsidRPr="0B66298A">
        <w:rPr>
          <w:rFonts w:eastAsia="Calibri"/>
        </w:rPr>
        <w:t xml:space="preserve">, </w:t>
      </w:r>
      <w:r w:rsidR="0CAC5A94" w:rsidRPr="0B66298A">
        <w:rPr>
          <w:rFonts w:eastAsia="Segoe UI"/>
          <w:color w:val="333333"/>
        </w:rPr>
        <w:t>country leads</w:t>
      </w:r>
      <w:r w:rsidR="00CA100B">
        <w:rPr>
          <w:rFonts w:eastAsia="Segoe UI"/>
          <w:color w:val="333333"/>
        </w:rPr>
        <w:t xml:space="preserve"> (6</w:t>
      </w:r>
      <w:r w:rsidR="00CF1F05">
        <w:rPr>
          <w:rFonts w:eastAsia="Segoe UI"/>
          <w:color w:val="333333"/>
        </w:rPr>
        <w:t xml:space="preserve"> people)</w:t>
      </w:r>
      <w:r w:rsidR="0CAC5A94" w:rsidRPr="0B66298A">
        <w:rPr>
          <w:rFonts w:eastAsia="Segoe UI"/>
          <w:color w:val="333333"/>
        </w:rPr>
        <w:t xml:space="preserve">, </w:t>
      </w:r>
      <w:r w:rsidR="00D41A08">
        <w:rPr>
          <w:rFonts w:eastAsia="Segoe UI"/>
          <w:color w:val="333333"/>
        </w:rPr>
        <w:t>country thematic focal points</w:t>
      </w:r>
      <w:r w:rsidR="00CF1F05">
        <w:rPr>
          <w:rFonts w:eastAsia="Segoe UI"/>
          <w:color w:val="333333"/>
        </w:rPr>
        <w:t xml:space="preserve"> (</w:t>
      </w:r>
      <w:r w:rsidR="0066465B">
        <w:rPr>
          <w:rFonts w:eastAsia="Segoe UI"/>
          <w:color w:val="333333"/>
        </w:rPr>
        <w:t xml:space="preserve">sampling from </w:t>
      </w:r>
      <w:r w:rsidR="00CF1F05">
        <w:rPr>
          <w:rFonts w:eastAsia="Segoe UI"/>
          <w:color w:val="333333"/>
        </w:rPr>
        <w:t>around 24 people)</w:t>
      </w:r>
      <w:r w:rsidR="00D41A08">
        <w:rPr>
          <w:rFonts w:eastAsia="Segoe UI"/>
          <w:color w:val="333333"/>
        </w:rPr>
        <w:t xml:space="preserve">, </w:t>
      </w:r>
      <w:r w:rsidR="0CAC5A94" w:rsidRPr="0B66298A">
        <w:rPr>
          <w:rFonts w:eastAsia="Segoe UI"/>
          <w:color w:val="333333"/>
        </w:rPr>
        <w:t>global leads</w:t>
      </w:r>
      <w:r w:rsidR="00CF1F05">
        <w:rPr>
          <w:rFonts w:eastAsia="Segoe UI"/>
          <w:color w:val="333333"/>
        </w:rPr>
        <w:t xml:space="preserve"> and team members (</w:t>
      </w:r>
      <w:r w:rsidR="0066465B">
        <w:rPr>
          <w:rFonts w:eastAsia="Segoe UI"/>
          <w:color w:val="333333"/>
        </w:rPr>
        <w:t>8 people)</w:t>
      </w:r>
      <w:r w:rsidR="0CAC5A94" w:rsidRPr="0B66298A">
        <w:rPr>
          <w:rFonts w:eastAsia="Segoe UI"/>
          <w:color w:val="333333"/>
        </w:rPr>
        <w:t>, global partner focal points</w:t>
      </w:r>
      <w:r w:rsidR="0066465B">
        <w:rPr>
          <w:rFonts w:eastAsia="Segoe UI"/>
          <w:color w:val="333333"/>
        </w:rPr>
        <w:t xml:space="preserve"> (6 people)</w:t>
      </w:r>
      <w:r w:rsidR="763BE74C" w:rsidRPr="0B66298A">
        <w:rPr>
          <w:rFonts w:eastAsia="Segoe UI"/>
          <w:color w:val="333333"/>
        </w:rPr>
        <w:t xml:space="preserve">, </w:t>
      </w:r>
      <w:r w:rsidR="00D41A08">
        <w:rPr>
          <w:rFonts w:eastAsia="Segoe UI"/>
          <w:color w:val="333333"/>
        </w:rPr>
        <w:t xml:space="preserve">and </w:t>
      </w:r>
      <w:r w:rsidR="763BE74C" w:rsidRPr="0B66298A">
        <w:rPr>
          <w:rFonts w:eastAsia="Segoe UI"/>
          <w:color w:val="333333"/>
        </w:rPr>
        <w:t>B-team</w:t>
      </w:r>
      <w:r w:rsidR="0066465B">
        <w:rPr>
          <w:rFonts w:eastAsia="Segoe UI"/>
          <w:color w:val="333333"/>
        </w:rPr>
        <w:t xml:space="preserve"> (2 people)</w:t>
      </w:r>
      <w:r w:rsidRPr="0B66298A">
        <w:rPr>
          <w:rFonts w:eastAsia="Calibri"/>
        </w:rPr>
        <w:t>;</w:t>
      </w:r>
    </w:p>
    <w:p w14:paraId="5578A254" w14:textId="369770FE" w:rsidR="74AF1E1E" w:rsidRPr="00B11DC3" w:rsidRDefault="74AF1E1E" w:rsidP="2AFC856B">
      <w:pPr>
        <w:pStyle w:val="Lijstalinea"/>
        <w:numPr>
          <w:ilvl w:val="0"/>
          <w:numId w:val="2"/>
        </w:numPr>
        <w:jc w:val="both"/>
        <w:rPr>
          <w:rFonts w:ascii="Calibri" w:eastAsia="Calibri" w:hAnsi="Calibri" w:cs="Calibri"/>
        </w:rPr>
      </w:pPr>
      <w:r w:rsidRPr="2C465FDF">
        <w:rPr>
          <w:rFonts w:ascii="Calibri" w:eastAsia="Calibri" w:hAnsi="Calibri" w:cs="Calibri"/>
        </w:rPr>
        <w:t xml:space="preserve">Focus group discussions with </w:t>
      </w:r>
      <w:r w:rsidR="00B11DC3" w:rsidRPr="2C465FDF">
        <w:rPr>
          <w:rFonts w:ascii="Calibri" w:eastAsia="Calibri" w:hAnsi="Calibri" w:cs="Calibri"/>
        </w:rPr>
        <w:t xml:space="preserve">relevant </w:t>
      </w:r>
      <w:r w:rsidRPr="2C465FDF">
        <w:rPr>
          <w:rFonts w:ascii="Calibri" w:eastAsia="Calibri" w:hAnsi="Calibri" w:cs="Calibri"/>
        </w:rPr>
        <w:t xml:space="preserve">R2G </w:t>
      </w:r>
      <w:r w:rsidR="00B11DC3" w:rsidRPr="2C465FDF">
        <w:rPr>
          <w:rFonts w:ascii="Calibri" w:eastAsia="Calibri" w:hAnsi="Calibri" w:cs="Calibri"/>
        </w:rPr>
        <w:t>global forums</w:t>
      </w:r>
      <w:r w:rsidRPr="2C465FDF">
        <w:rPr>
          <w:rFonts w:ascii="Calibri" w:eastAsia="Calibri" w:hAnsi="Calibri" w:cs="Calibri"/>
        </w:rPr>
        <w:t>;</w:t>
      </w:r>
    </w:p>
    <w:p w14:paraId="497F61E0" w14:textId="3390863E" w:rsidR="74AF1E1E" w:rsidRPr="00B11DC3" w:rsidRDefault="44217E08" w:rsidP="2AFC856B">
      <w:pPr>
        <w:pStyle w:val="Lijstalinea"/>
        <w:numPr>
          <w:ilvl w:val="0"/>
          <w:numId w:val="2"/>
        </w:numPr>
        <w:jc w:val="both"/>
        <w:rPr>
          <w:rFonts w:ascii="Calibri" w:eastAsia="Calibri" w:hAnsi="Calibri" w:cs="Calibri"/>
        </w:rPr>
      </w:pPr>
      <w:r w:rsidRPr="7536D19F">
        <w:rPr>
          <w:rFonts w:ascii="Calibri" w:eastAsia="Calibri" w:hAnsi="Calibri" w:cs="Calibri"/>
        </w:rPr>
        <w:t>Focus group discussions with selected MFA staff on the Strategic Partnership</w:t>
      </w:r>
      <w:r w:rsidR="7C416988" w:rsidRPr="7536D19F">
        <w:rPr>
          <w:rFonts w:ascii="Calibri" w:eastAsia="Calibri" w:hAnsi="Calibri" w:cs="Calibri"/>
        </w:rPr>
        <w:t>;</w:t>
      </w:r>
    </w:p>
    <w:p w14:paraId="448523C0" w14:textId="11133F03" w:rsidR="7C416988" w:rsidRDefault="7C416988" w:rsidP="7536D19F">
      <w:pPr>
        <w:pStyle w:val="Lijstalinea"/>
        <w:numPr>
          <w:ilvl w:val="0"/>
          <w:numId w:val="2"/>
        </w:numPr>
        <w:jc w:val="both"/>
        <w:rPr>
          <w:rFonts w:ascii="Calibri" w:eastAsia="Calibri" w:hAnsi="Calibri" w:cs="Calibri"/>
        </w:rPr>
      </w:pPr>
      <w:r w:rsidRPr="7536D19F">
        <w:rPr>
          <w:rFonts w:ascii="Calibri" w:eastAsia="Calibri" w:hAnsi="Calibri" w:cs="Calibri"/>
        </w:rPr>
        <w:t xml:space="preserve">Consolidation of draft report and validation of key findings before report finalization. </w:t>
      </w:r>
    </w:p>
    <w:p w14:paraId="47D5CCFB" w14:textId="1CBEC06E" w:rsidR="000C5869" w:rsidRPr="00A22E73" w:rsidRDefault="5F64BA3E" w:rsidP="2AFC856B">
      <w:pPr>
        <w:pStyle w:val="Kop3"/>
        <w:spacing w:before="0" w:after="200" w:line="240" w:lineRule="auto"/>
        <w:jc w:val="both"/>
        <w:rPr>
          <w:rFonts w:asciiTheme="minorHAnsi" w:hAnsiTheme="minorHAnsi" w:cstheme="minorBidi"/>
          <w:b/>
          <w:bCs/>
          <w:color w:val="4600AB"/>
          <w:kern w:val="10"/>
          <w:sz w:val="32"/>
          <w:szCs w:val="32"/>
        </w:rPr>
      </w:pPr>
      <w:bookmarkStart w:id="0" w:name="_Hlk125664519"/>
      <w:r w:rsidRPr="2AFC856B">
        <w:rPr>
          <w:rFonts w:asciiTheme="minorHAnsi" w:hAnsiTheme="minorHAnsi" w:cstheme="minorBidi"/>
          <w:b/>
          <w:bCs/>
          <w:color w:val="4600AB"/>
          <w:kern w:val="10"/>
          <w:sz w:val="32"/>
          <w:szCs w:val="32"/>
        </w:rPr>
        <w:t xml:space="preserve">5. </w:t>
      </w:r>
      <w:r w:rsidR="00357218" w:rsidRPr="2AFC856B">
        <w:rPr>
          <w:rFonts w:asciiTheme="minorHAnsi" w:hAnsiTheme="minorHAnsi" w:cstheme="minorBidi"/>
          <w:b/>
          <w:bCs/>
          <w:color w:val="4600AB"/>
          <w:kern w:val="10"/>
          <w:sz w:val="32"/>
          <w:szCs w:val="32"/>
        </w:rPr>
        <w:t>Process, Deliverables and Tentative Timelines</w:t>
      </w:r>
    </w:p>
    <w:bookmarkEnd w:id="0"/>
    <w:p w14:paraId="273AA0FA" w14:textId="00C0D66A" w:rsidR="00357218" w:rsidRPr="00357218" w:rsidRDefault="00357218" w:rsidP="0575BDF9">
      <w:pPr>
        <w:spacing w:after="200" w:line="240" w:lineRule="auto"/>
        <w:jc w:val="both"/>
        <w:rPr>
          <w:rFonts w:eastAsia="Calibri"/>
        </w:rPr>
      </w:pPr>
      <w:r w:rsidRPr="2AFC856B">
        <w:rPr>
          <w:rFonts w:eastAsia="Calibri"/>
        </w:rPr>
        <w:t>The term</w:t>
      </w:r>
      <w:r w:rsidR="00E101E2" w:rsidRPr="2AFC856B">
        <w:rPr>
          <w:rFonts w:eastAsia="Calibri"/>
        </w:rPr>
        <w:t>s</w:t>
      </w:r>
      <w:r w:rsidRPr="2AFC856B">
        <w:rPr>
          <w:rFonts w:eastAsia="Calibri"/>
        </w:rPr>
        <w:t xml:space="preserve"> </w:t>
      </w:r>
      <w:r w:rsidR="000E4F22" w:rsidRPr="2AFC856B">
        <w:rPr>
          <w:rFonts w:eastAsia="Calibri"/>
        </w:rPr>
        <w:t xml:space="preserve">of reference for </w:t>
      </w:r>
      <w:r w:rsidRPr="2AFC856B">
        <w:rPr>
          <w:rFonts w:eastAsia="Calibri"/>
        </w:rPr>
        <w:t>the mid-term review is designed so as not to be rushed, and instead to offer enough time for the necessary data collection and review to prepare a thorough, thoughtful, and useful answer</w:t>
      </w:r>
      <w:r w:rsidR="000E4F22" w:rsidRPr="2AFC856B">
        <w:rPr>
          <w:rFonts w:eastAsia="Calibri"/>
        </w:rPr>
        <w:t>s</w:t>
      </w:r>
      <w:r w:rsidRPr="2AFC856B">
        <w:rPr>
          <w:rFonts w:eastAsia="Calibri"/>
        </w:rPr>
        <w:t xml:space="preserve"> on all four main objectives. The final process will be designed and revised over the term of the assignment by all participating parties</w:t>
      </w:r>
      <w:r w:rsidR="00912BB3">
        <w:rPr>
          <w:rFonts w:eastAsia="Calibri"/>
        </w:rPr>
        <w:t xml:space="preserve"> including the consultant</w:t>
      </w:r>
      <w:r w:rsidRPr="2AFC856B">
        <w:rPr>
          <w:rFonts w:eastAsia="Calibri"/>
        </w:rPr>
        <w:t xml:space="preserve">. The </w:t>
      </w:r>
      <w:r w:rsidR="000E4F22" w:rsidRPr="2AFC856B">
        <w:rPr>
          <w:rFonts w:eastAsia="Calibri"/>
        </w:rPr>
        <w:t>Right2Grow</w:t>
      </w:r>
      <w:r w:rsidRPr="2AFC856B">
        <w:rPr>
          <w:rFonts w:eastAsia="Calibri"/>
        </w:rPr>
        <w:t xml:space="preserve"> partnership will hold initial meetings with the selected applicant as soon as possible in the timeline, to clarify any questions related to the assignment, and to provide necessary background documentation, data, and other materials as needed.</w:t>
      </w:r>
      <w:r w:rsidR="65762E7D" w:rsidRPr="2AFC856B">
        <w:rPr>
          <w:rFonts w:eastAsia="Calibri"/>
        </w:rPr>
        <w:t xml:space="preserve"> </w:t>
      </w:r>
      <w:r w:rsidR="39E44E5A" w:rsidRPr="2AFC856B">
        <w:rPr>
          <w:rFonts w:eastAsia="Calibri"/>
        </w:rPr>
        <w:t>Capacity assessment</w:t>
      </w:r>
      <w:r w:rsidR="47716A95" w:rsidRPr="2AFC856B">
        <w:rPr>
          <w:rFonts w:eastAsia="Calibri"/>
        </w:rPr>
        <w:t>s</w:t>
      </w:r>
      <w:r w:rsidR="39E44E5A" w:rsidRPr="2AFC856B">
        <w:rPr>
          <w:rFonts w:eastAsia="Calibri"/>
        </w:rPr>
        <w:t xml:space="preserve"> of </w:t>
      </w:r>
      <w:r w:rsidR="6E40E296" w:rsidRPr="2AFC856B">
        <w:rPr>
          <w:rFonts w:eastAsia="Calibri"/>
        </w:rPr>
        <w:t xml:space="preserve">R2G </w:t>
      </w:r>
      <w:proofErr w:type="spellStart"/>
      <w:r w:rsidR="6E40E296" w:rsidRPr="2AFC856B">
        <w:rPr>
          <w:rFonts w:eastAsia="Calibri"/>
        </w:rPr>
        <w:t>programme</w:t>
      </w:r>
      <w:proofErr w:type="spellEnd"/>
      <w:r w:rsidR="6E40E296" w:rsidRPr="2AFC856B">
        <w:rPr>
          <w:rFonts w:eastAsia="Calibri"/>
        </w:rPr>
        <w:t xml:space="preserve"> </w:t>
      </w:r>
      <w:r w:rsidR="39E44E5A" w:rsidRPr="2AFC856B">
        <w:rPr>
          <w:rFonts w:eastAsia="Calibri"/>
        </w:rPr>
        <w:lastRenderedPageBreak/>
        <w:t>countries and partners will be conducted and the results will feed into the MTR process</w:t>
      </w:r>
      <w:r w:rsidR="000E5B81">
        <w:rPr>
          <w:rFonts w:eastAsia="Calibri"/>
        </w:rPr>
        <w:t xml:space="preserve">. </w:t>
      </w:r>
      <w:proofErr w:type="spellStart"/>
      <w:r w:rsidR="5563542D" w:rsidRPr="2AFC856B">
        <w:rPr>
          <w:rFonts w:eastAsia="Calibri"/>
        </w:rPr>
        <w:t>P</w:t>
      </w:r>
      <w:r w:rsidR="457F6238" w:rsidRPr="2AFC856B">
        <w:rPr>
          <w:rFonts w:eastAsia="Calibri"/>
        </w:rPr>
        <w:t>rogramme</w:t>
      </w:r>
      <w:proofErr w:type="spellEnd"/>
      <w:r w:rsidR="457F6238" w:rsidRPr="2AFC856B">
        <w:rPr>
          <w:rFonts w:eastAsia="Calibri"/>
        </w:rPr>
        <w:t xml:space="preserve"> </w:t>
      </w:r>
      <w:r w:rsidR="000E5B81">
        <w:rPr>
          <w:rFonts w:eastAsia="Calibri"/>
        </w:rPr>
        <w:t>learning</w:t>
      </w:r>
      <w:r w:rsidR="000E5B81" w:rsidRPr="2AFC856B">
        <w:rPr>
          <w:rFonts w:eastAsia="Calibri"/>
        </w:rPr>
        <w:t xml:space="preserve"> </w:t>
      </w:r>
      <w:r w:rsidR="2AF3A4D2" w:rsidRPr="2AFC856B">
        <w:rPr>
          <w:rFonts w:eastAsia="Calibri"/>
        </w:rPr>
        <w:t xml:space="preserve">process </w:t>
      </w:r>
      <w:r w:rsidR="7BF345D6" w:rsidRPr="2AFC856B">
        <w:rPr>
          <w:rFonts w:eastAsia="Calibri"/>
        </w:rPr>
        <w:t xml:space="preserve">whose </w:t>
      </w:r>
      <w:proofErr w:type="spellStart"/>
      <w:r w:rsidR="7BF345D6" w:rsidRPr="2AFC856B">
        <w:rPr>
          <w:rFonts w:eastAsia="Calibri"/>
        </w:rPr>
        <w:t>ToR</w:t>
      </w:r>
      <w:proofErr w:type="spellEnd"/>
      <w:r w:rsidR="7BF345D6" w:rsidRPr="2AFC856B">
        <w:rPr>
          <w:rFonts w:eastAsia="Calibri"/>
        </w:rPr>
        <w:t xml:space="preserve"> will be developed separately and conducted at the same time</w:t>
      </w:r>
      <w:r w:rsidR="7C620E80" w:rsidRPr="2AFC856B">
        <w:rPr>
          <w:rFonts w:eastAsia="Calibri"/>
        </w:rPr>
        <w:t xml:space="preserve"> will feed into the MTR.</w:t>
      </w:r>
    </w:p>
    <w:p w14:paraId="5FBF2906" w14:textId="5530DAF4" w:rsidR="00357218" w:rsidRPr="00357218" w:rsidRDefault="00357218" w:rsidP="00357218">
      <w:pPr>
        <w:spacing w:after="200" w:line="240" w:lineRule="auto"/>
        <w:jc w:val="both"/>
        <w:rPr>
          <w:rFonts w:eastAsia="Calibri" w:cstheme="minorHAnsi"/>
          <w:szCs w:val="24"/>
        </w:rPr>
      </w:pPr>
      <w:r w:rsidRPr="00357218">
        <w:rPr>
          <w:rFonts w:eastAsia="Calibri" w:cstheme="minorHAnsi"/>
          <w:szCs w:val="24"/>
        </w:rPr>
        <w:t>It is expected that the principles of participation, inclusiveness and co-ownership are fully embedded in the methodology. In addition, regular updates on the process</w:t>
      </w:r>
      <w:r w:rsidR="00B11DC3">
        <w:rPr>
          <w:rFonts w:eastAsia="Calibri" w:cstheme="minorHAnsi"/>
          <w:szCs w:val="24"/>
        </w:rPr>
        <w:t xml:space="preserve"> </w:t>
      </w:r>
      <w:r w:rsidRPr="00357218">
        <w:rPr>
          <w:rFonts w:eastAsia="Calibri" w:cstheme="minorHAnsi"/>
          <w:szCs w:val="24"/>
        </w:rPr>
        <w:t>are required. The applicant should address the communication process and collaboration between the different parties in their proposal.</w:t>
      </w:r>
      <w:r w:rsidR="000E5B81">
        <w:rPr>
          <w:rFonts w:eastAsia="Calibri" w:cstheme="minorHAnsi"/>
          <w:szCs w:val="24"/>
        </w:rPr>
        <w:t xml:space="preserve"> An internal review group has been established and there will be one global focal point for the consultant to go to in the course of MTR process.</w:t>
      </w:r>
    </w:p>
    <w:p w14:paraId="0F03032A" w14:textId="73E456F0" w:rsidR="00357218" w:rsidRPr="00357218" w:rsidRDefault="00357218" w:rsidP="00357218">
      <w:pPr>
        <w:spacing w:after="200" w:line="240" w:lineRule="auto"/>
        <w:jc w:val="both"/>
        <w:rPr>
          <w:rFonts w:eastAsia="Calibri" w:cstheme="minorHAnsi"/>
          <w:szCs w:val="24"/>
        </w:rPr>
      </w:pPr>
      <w:r w:rsidRPr="00EE2EC8">
        <w:rPr>
          <w:rFonts w:eastAsia="Calibri" w:cstheme="minorHAnsi"/>
          <w:i/>
          <w:szCs w:val="24"/>
          <w:u w:val="single"/>
        </w:rPr>
        <w:t>Throughout: Intended users and audience of the final product.</w:t>
      </w:r>
      <w:r w:rsidRPr="00357218">
        <w:rPr>
          <w:rFonts w:eastAsia="Calibri" w:cstheme="minorHAnsi"/>
          <w:szCs w:val="24"/>
        </w:rPr>
        <w:t xml:space="preserve"> Considerations of the ultimate users/uses of the review should inform all evaluation decisions. We anticipate that the key audiences and end users of the report include: </w:t>
      </w:r>
    </w:p>
    <w:p w14:paraId="4954838D" w14:textId="0C2CE45C" w:rsidR="00357218" w:rsidRPr="00EE2EC8" w:rsidRDefault="1DE46B5E" w:rsidP="00EE2EC8">
      <w:pPr>
        <w:pStyle w:val="Lijstalinea"/>
        <w:numPr>
          <w:ilvl w:val="0"/>
          <w:numId w:val="19"/>
        </w:numPr>
        <w:spacing w:after="200" w:line="240" w:lineRule="auto"/>
        <w:jc w:val="both"/>
        <w:rPr>
          <w:rFonts w:eastAsia="Calibri" w:cstheme="minorHAnsi"/>
          <w:szCs w:val="24"/>
        </w:rPr>
      </w:pPr>
      <w:r w:rsidRPr="7536D19F">
        <w:rPr>
          <w:rFonts w:eastAsia="Calibri"/>
        </w:rPr>
        <w:t>Members and partners of the partnership</w:t>
      </w:r>
      <w:r w:rsidR="2B2CD573" w:rsidRPr="7536D19F">
        <w:rPr>
          <w:rFonts w:eastAsia="Calibri"/>
        </w:rPr>
        <w:t>;</w:t>
      </w:r>
      <w:r w:rsidRPr="7536D19F">
        <w:rPr>
          <w:rFonts w:eastAsia="Calibri"/>
        </w:rPr>
        <w:t xml:space="preserve"> </w:t>
      </w:r>
    </w:p>
    <w:p w14:paraId="355891F8" w14:textId="31416654" w:rsidR="00357218" w:rsidRPr="00EE2EC8" w:rsidRDefault="1DE46B5E" w:rsidP="00EE2EC8">
      <w:pPr>
        <w:pStyle w:val="Lijstalinea"/>
        <w:numPr>
          <w:ilvl w:val="0"/>
          <w:numId w:val="19"/>
        </w:numPr>
        <w:spacing w:after="200" w:line="240" w:lineRule="auto"/>
        <w:jc w:val="both"/>
        <w:rPr>
          <w:rFonts w:eastAsia="Calibri" w:cstheme="minorHAnsi"/>
          <w:szCs w:val="24"/>
        </w:rPr>
      </w:pPr>
      <w:proofErr w:type="spellStart"/>
      <w:r w:rsidRPr="7536D19F">
        <w:rPr>
          <w:rFonts w:eastAsia="Calibri"/>
        </w:rPr>
        <w:t>Programme</w:t>
      </w:r>
      <w:proofErr w:type="spellEnd"/>
      <w:r w:rsidRPr="7536D19F">
        <w:rPr>
          <w:rFonts w:eastAsia="Calibri"/>
        </w:rPr>
        <w:t xml:space="preserve"> participants and stakeholders in each country. Engaging directly with this audience ensures downward accountability and for learning, inspiration and motivation</w:t>
      </w:r>
      <w:r w:rsidR="2B2CD573" w:rsidRPr="7536D19F">
        <w:rPr>
          <w:rFonts w:eastAsia="Calibri"/>
        </w:rPr>
        <w:t>;</w:t>
      </w:r>
    </w:p>
    <w:p w14:paraId="446AB2D4" w14:textId="34FF743E" w:rsidR="00357218" w:rsidRPr="00EE2EC8" w:rsidRDefault="1DE46B5E" w:rsidP="00EE2EC8">
      <w:pPr>
        <w:pStyle w:val="Lijstalinea"/>
        <w:numPr>
          <w:ilvl w:val="0"/>
          <w:numId w:val="19"/>
        </w:numPr>
        <w:spacing w:after="200" w:line="240" w:lineRule="auto"/>
        <w:jc w:val="both"/>
        <w:rPr>
          <w:rFonts w:eastAsia="Calibri" w:cstheme="minorHAnsi"/>
          <w:szCs w:val="24"/>
        </w:rPr>
      </w:pPr>
      <w:r w:rsidRPr="7536D19F">
        <w:rPr>
          <w:rFonts w:eastAsia="Calibri"/>
        </w:rPr>
        <w:t xml:space="preserve">the Ministry of Foreign Affairs of the Netherlands (the primary donor of the </w:t>
      </w:r>
      <w:proofErr w:type="spellStart"/>
      <w:r w:rsidRPr="7536D19F">
        <w:rPr>
          <w:rFonts w:eastAsia="Calibri"/>
        </w:rPr>
        <w:t>programme</w:t>
      </w:r>
      <w:proofErr w:type="spellEnd"/>
      <w:r w:rsidRPr="7536D19F">
        <w:rPr>
          <w:rFonts w:eastAsia="Calibri"/>
        </w:rPr>
        <w:t xml:space="preserve">) and the Dutch development sector in particular. </w:t>
      </w:r>
    </w:p>
    <w:p w14:paraId="4C5B5212" w14:textId="77777777" w:rsidR="00357218" w:rsidRPr="00357218" w:rsidRDefault="00357218" w:rsidP="00357218">
      <w:pPr>
        <w:spacing w:after="200" w:line="240" w:lineRule="auto"/>
        <w:jc w:val="both"/>
        <w:rPr>
          <w:rFonts w:eastAsia="Calibri" w:cstheme="minorHAnsi"/>
          <w:szCs w:val="24"/>
        </w:rPr>
      </w:pPr>
      <w:r w:rsidRPr="00357218">
        <w:rPr>
          <w:rFonts w:eastAsia="Calibri" w:cstheme="minorHAnsi"/>
          <w:szCs w:val="24"/>
        </w:rPr>
        <w:t>Expected deliverables:</w:t>
      </w:r>
    </w:p>
    <w:p w14:paraId="53F4BDFA" w14:textId="79A986D4" w:rsidR="00574C4C" w:rsidRPr="00FF50D8" w:rsidRDefault="1D8680DD" w:rsidP="7536D19F">
      <w:pPr>
        <w:pStyle w:val="Lijstalinea"/>
        <w:numPr>
          <w:ilvl w:val="0"/>
          <w:numId w:val="19"/>
        </w:numPr>
        <w:spacing w:after="200" w:line="240" w:lineRule="auto"/>
        <w:jc w:val="both"/>
        <w:rPr>
          <w:rFonts w:eastAsia="Calibri"/>
        </w:rPr>
      </w:pPr>
      <w:r w:rsidRPr="7536D19F">
        <w:rPr>
          <w:rFonts w:eastAsia="Calibri"/>
        </w:rPr>
        <w:t>An inception report containing a detailed evaluation matrix - including the full list of specific evaluation questions and how they will be answered - and workplan is expected to be handed in by 3</w:t>
      </w:r>
      <w:r w:rsidR="1057F40C" w:rsidRPr="7536D19F">
        <w:rPr>
          <w:rFonts w:eastAsia="Calibri"/>
        </w:rPr>
        <w:t>1 May</w:t>
      </w:r>
      <w:r w:rsidRPr="7536D19F">
        <w:rPr>
          <w:rFonts w:eastAsia="Calibri"/>
        </w:rPr>
        <w:t>, in order to ensure that the MTR final report be finalized by 30 September 2023. The Dutch MFA guidance “Extra Information on the SCS MTRs ” should be followed.</w:t>
      </w:r>
      <w:bookmarkStart w:id="1" w:name="_Hlk125660678"/>
      <w:r w:rsidR="7D036880" w:rsidRPr="7536D19F">
        <w:rPr>
          <w:rFonts w:eastAsia="Calibri"/>
        </w:rPr>
        <w:t>;</w:t>
      </w:r>
      <w:bookmarkEnd w:id="1"/>
    </w:p>
    <w:p w14:paraId="005B613F" w14:textId="11A832DC" w:rsidR="00357218" w:rsidRPr="00BF43CB" w:rsidRDefault="799475AE" w:rsidP="00BF43CB">
      <w:pPr>
        <w:pStyle w:val="Lijstalinea"/>
        <w:numPr>
          <w:ilvl w:val="0"/>
          <w:numId w:val="19"/>
        </w:numPr>
        <w:spacing w:after="200" w:line="240" w:lineRule="auto"/>
        <w:jc w:val="both"/>
        <w:rPr>
          <w:rFonts w:eastAsia="Calibri" w:cstheme="minorHAnsi"/>
          <w:szCs w:val="24"/>
        </w:rPr>
      </w:pPr>
      <w:r w:rsidRPr="7536D19F">
        <w:rPr>
          <w:rFonts w:eastAsia="Calibri"/>
        </w:rPr>
        <w:t xml:space="preserve">Draft findings report (including </w:t>
      </w:r>
      <w:proofErr w:type="spellStart"/>
      <w:r w:rsidRPr="7536D19F">
        <w:rPr>
          <w:rFonts w:eastAsia="Calibri"/>
        </w:rPr>
        <w:t>anonymised</w:t>
      </w:r>
      <w:proofErr w:type="spellEnd"/>
      <w:r w:rsidRPr="7536D19F">
        <w:rPr>
          <w:rFonts w:eastAsia="Calibri"/>
        </w:rPr>
        <w:t xml:space="preserve"> primary data; indicative deadline: mid</w:t>
      </w:r>
      <w:r w:rsidR="53ED6E20" w:rsidRPr="7536D19F">
        <w:rPr>
          <w:rFonts w:eastAsia="Calibri"/>
        </w:rPr>
        <w:t>-</w:t>
      </w:r>
      <w:r w:rsidRPr="7536D19F">
        <w:rPr>
          <w:rFonts w:eastAsia="Calibri"/>
        </w:rPr>
        <w:t>August 2023);</w:t>
      </w:r>
    </w:p>
    <w:p w14:paraId="4CAE68B4" w14:textId="5388D754" w:rsidR="00357218" w:rsidRPr="00BF43CB" w:rsidRDefault="799475AE" w:rsidP="00BF43CB">
      <w:pPr>
        <w:pStyle w:val="Lijstalinea"/>
        <w:numPr>
          <w:ilvl w:val="0"/>
          <w:numId w:val="19"/>
        </w:numPr>
        <w:spacing w:after="200" w:line="240" w:lineRule="auto"/>
        <w:jc w:val="both"/>
        <w:rPr>
          <w:rFonts w:eastAsia="Calibri"/>
        </w:rPr>
      </w:pPr>
      <w:r w:rsidRPr="7536D19F">
        <w:rPr>
          <w:rFonts w:eastAsia="Calibri"/>
        </w:rPr>
        <w:t xml:space="preserve">Methodology for and (co-)facilitation of a </w:t>
      </w:r>
      <w:r w:rsidR="53ED6E20" w:rsidRPr="7536D19F">
        <w:rPr>
          <w:rFonts w:eastAsia="Calibri"/>
        </w:rPr>
        <w:t>country</w:t>
      </w:r>
      <w:r w:rsidR="1D8680DD" w:rsidRPr="7536D19F">
        <w:rPr>
          <w:rFonts w:eastAsia="Calibri"/>
        </w:rPr>
        <w:t xml:space="preserve"> and global </w:t>
      </w:r>
      <w:r w:rsidR="53ED6E20" w:rsidRPr="7536D19F">
        <w:rPr>
          <w:rFonts w:eastAsia="Calibri"/>
        </w:rPr>
        <w:t>level</w:t>
      </w:r>
      <w:r w:rsidR="1D8680DD" w:rsidRPr="7536D19F">
        <w:rPr>
          <w:rFonts w:eastAsia="Calibri"/>
        </w:rPr>
        <w:t>s</w:t>
      </w:r>
      <w:r w:rsidR="53ED6E20" w:rsidRPr="7536D19F">
        <w:rPr>
          <w:rFonts w:eastAsia="Calibri"/>
        </w:rPr>
        <w:t xml:space="preserve"> </w:t>
      </w:r>
      <w:r w:rsidRPr="7536D19F">
        <w:rPr>
          <w:rFonts w:eastAsia="Calibri"/>
        </w:rPr>
        <w:t>validation process with the partnership;</w:t>
      </w:r>
    </w:p>
    <w:p w14:paraId="59F3B1C9" w14:textId="36EBEBDE" w:rsidR="00357218" w:rsidRPr="00D41A08" w:rsidRDefault="3783CCB5" w:rsidP="00D41A08">
      <w:pPr>
        <w:pStyle w:val="Lijstalinea"/>
        <w:numPr>
          <w:ilvl w:val="0"/>
          <w:numId w:val="19"/>
        </w:numPr>
        <w:spacing w:after="200" w:line="240" w:lineRule="auto"/>
        <w:jc w:val="both"/>
        <w:rPr>
          <w:rFonts w:eastAsia="Calibri"/>
        </w:rPr>
      </w:pPr>
      <w:r w:rsidRPr="7536D19F">
        <w:rPr>
          <w:rFonts w:eastAsia="Calibri"/>
        </w:rPr>
        <w:t xml:space="preserve">Final report (deadline: </w:t>
      </w:r>
      <w:r w:rsidR="6F479375" w:rsidRPr="7536D19F">
        <w:rPr>
          <w:rFonts w:eastAsia="Calibri"/>
        </w:rPr>
        <w:t>end September</w:t>
      </w:r>
      <w:r w:rsidRPr="7536D19F">
        <w:rPr>
          <w:rFonts w:eastAsia="Calibri"/>
        </w:rPr>
        <w:t xml:space="preserve"> 2023)</w:t>
      </w:r>
      <w:r w:rsidR="09D56C86" w:rsidRPr="7536D19F">
        <w:rPr>
          <w:rFonts w:eastAsia="Calibri"/>
        </w:rPr>
        <w:t xml:space="preserve"> as per proposed format</w:t>
      </w:r>
      <w:r w:rsidR="1D8680DD" w:rsidRPr="7536D19F">
        <w:rPr>
          <w:rFonts w:eastAsia="Calibri"/>
        </w:rPr>
        <w:t xml:space="preserve">. </w:t>
      </w:r>
      <w:r w:rsidR="09D56C86" w:rsidRPr="7536D19F">
        <w:rPr>
          <w:rFonts w:eastAsia="Calibri"/>
        </w:rPr>
        <w:t xml:space="preserve"> </w:t>
      </w:r>
      <w:r w:rsidR="1D8680DD" w:rsidRPr="7536D19F">
        <w:rPr>
          <w:rFonts w:eastAsia="Calibri"/>
        </w:rPr>
        <w:t xml:space="preserve">The report should; Be jargon free, clear and written in an accessible fashion; Not exceed 50 pages; Include an executive summary, outline of the methodology used including limitations, findings and recommendations; Ensure the analysis is backed up with relevant data and validated, with reference to data source; and </w:t>
      </w:r>
      <w:r w:rsidR="2662AA64" w:rsidRPr="7536D19F">
        <w:rPr>
          <w:rFonts w:eastAsia="Calibri"/>
        </w:rPr>
        <w:t>e</w:t>
      </w:r>
      <w:r w:rsidR="1D8680DD" w:rsidRPr="7536D19F">
        <w:rPr>
          <w:rFonts w:eastAsia="Calibri"/>
        </w:rPr>
        <w:t>nsure the recommendations are specific and include relevant details how they might be implemented;</w:t>
      </w:r>
    </w:p>
    <w:p w14:paraId="24281F5F" w14:textId="0DBCAE6C" w:rsidR="00900579" w:rsidRDefault="799475AE" w:rsidP="00BF43CB">
      <w:pPr>
        <w:pStyle w:val="Lijstalinea"/>
        <w:numPr>
          <w:ilvl w:val="0"/>
          <w:numId w:val="19"/>
        </w:numPr>
        <w:spacing w:after="200" w:line="240" w:lineRule="auto"/>
        <w:jc w:val="both"/>
        <w:rPr>
          <w:rFonts w:eastAsia="Calibri"/>
        </w:rPr>
      </w:pPr>
      <w:r w:rsidRPr="7536D19F">
        <w:rPr>
          <w:rFonts w:eastAsia="Calibri"/>
        </w:rPr>
        <w:t>Stand-alone communication products, such as a slide deck, with main findings and recommendations.</w:t>
      </w:r>
    </w:p>
    <w:p w14:paraId="13F44E27" w14:textId="756A7B13" w:rsidR="00BE3B67" w:rsidRPr="00345E1D" w:rsidRDefault="1DCAB130" w:rsidP="6581EEB1">
      <w:pPr>
        <w:spacing w:after="200" w:line="240" w:lineRule="auto"/>
        <w:jc w:val="both"/>
        <w:rPr>
          <w:rFonts w:eastAsia="Calibri"/>
        </w:rPr>
      </w:pPr>
      <w:r w:rsidRPr="6581EEB1">
        <w:rPr>
          <w:rFonts w:eastAsia="Calibri"/>
        </w:rPr>
        <w:t>Timeline</w:t>
      </w:r>
      <w:r w:rsidR="39649DC1" w:rsidRPr="6581EEB1">
        <w:rPr>
          <w:rFonts w:eastAsia="Calibri"/>
        </w:rPr>
        <w:t>:</w:t>
      </w:r>
    </w:p>
    <w:p w14:paraId="5E596748" w14:textId="3D2B368F" w:rsidR="20176EA9" w:rsidRDefault="20176EA9" w:rsidP="6581EEB1">
      <w:pPr>
        <w:spacing w:after="200" w:line="240" w:lineRule="auto"/>
        <w:jc w:val="both"/>
      </w:pPr>
      <w:r w:rsidRPr="6581EEB1">
        <w:rPr>
          <w:rFonts w:ascii="Calibri" w:eastAsia="Calibri" w:hAnsi="Calibri" w:cs="Calibri"/>
        </w:rPr>
        <w:t>The duration of the assignment will be agreed upon signing the mid-term review contract considering the following indicative dates:</w:t>
      </w:r>
    </w:p>
    <w:p w14:paraId="5FA15D3E" w14:textId="319B4B7E" w:rsidR="00BE3B67" w:rsidRPr="00345E1D" w:rsidRDefault="00BE3B67" w:rsidP="00345E1D">
      <w:pPr>
        <w:pStyle w:val="Lijstalinea"/>
        <w:numPr>
          <w:ilvl w:val="0"/>
          <w:numId w:val="34"/>
        </w:numPr>
        <w:spacing w:after="200" w:line="240" w:lineRule="auto"/>
        <w:jc w:val="both"/>
        <w:rPr>
          <w:rFonts w:eastAsia="Calibri"/>
        </w:rPr>
      </w:pPr>
      <w:r w:rsidRPr="368E9E89">
        <w:rPr>
          <w:rFonts w:eastAsia="Calibri"/>
        </w:rPr>
        <w:t>Inception</w:t>
      </w:r>
      <w:r w:rsidR="00BB436A" w:rsidRPr="368E9E89">
        <w:rPr>
          <w:rFonts w:eastAsia="Calibri"/>
        </w:rPr>
        <w:t xml:space="preserve">: </w:t>
      </w:r>
      <w:r w:rsidR="000E5B81" w:rsidRPr="368E9E89">
        <w:rPr>
          <w:rFonts w:eastAsia="Calibri"/>
        </w:rPr>
        <w:t xml:space="preserve">by </w:t>
      </w:r>
      <w:r w:rsidR="554739D7" w:rsidRPr="368E9E89">
        <w:rPr>
          <w:rFonts w:eastAsia="Calibri"/>
        </w:rPr>
        <w:t>31</w:t>
      </w:r>
      <w:r w:rsidR="554739D7" w:rsidRPr="368E9E89">
        <w:rPr>
          <w:rFonts w:eastAsia="Calibri"/>
          <w:vertAlign w:val="superscript"/>
        </w:rPr>
        <w:t>st</w:t>
      </w:r>
      <w:r w:rsidR="554739D7" w:rsidRPr="368E9E89">
        <w:rPr>
          <w:rFonts w:eastAsia="Calibri"/>
        </w:rPr>
        <w:t xml:space="preserve"> May </w:t>
      </w:r>
      <w:r w:rsidR="000E5B81" w:rsidRPr="368E9E89">
        <w:rPr>
          <w:rFonts w:eastAsia="Calibri"/>
        </w:rPr>
        <w:t>2023</w:t>
      </w:r>
    </w:p>
    <w:p w14:paraId="004585F6" w14:textId="46D770A6" w:rsidR="00BE3B67" w:rsidRPr="00345E1D" w:rsidRDefault="60AFBFDB" w:rsidP="00345E1D">
      <w:pPr>
        <w:pStyle w:val="Lijstalinea"/>
        <w:numPr>
          <w:ilvl w:val="0"/>
          <w:numId w:val="34"/>
        </w:numPr>
        <w:spacing w:after="200" w:line="240" w:lineRule="auto"/>
        <w:jc w:val="both"/>
        <w:rPr>
          <w:rFonts w:eastAsia="Calibri"/>
        </w:rPr>
      </w:pPr>
      <w:r w:rsidRPr="685F548B">
        <w:rPr>
          <w:rFonts w:eastAsia="Calibri"/>
        </w:rPr>
        <w:t>Desk study</w:t>
      </w:r>
      <w:r w:rsidR="55D1DBC1" w:rsidRPr="685F548B">
        <w:rPr>
          <w:rFonts w:eastAsia="Calibri"/>
        </w:rPr>
        <w:t xml:space="preserve"> </w:t>
      </w:r>
      <w:r w:rsidR="66DCD5AC" w:rsidRPr="685F548B">
        <w:rPr>
          <w:rFonts w:eastAsia="Calibri"/>
        </w:rPr>
        <w:t>and</w:t>
      </w:r>
      <w:r w:rsidRPr="685F548B">
        <w:rPr>
          <w:rFonts w:eastAsia="Calibri"/>
        </w:rPr>
        <w:t xml:space="preserve"> data collection</w:t>
      </w:r>
      <w:r w:rsidR="66DCD5AC" w:rsidRPr="685F548B">
        <w:rPr>
          <w:rFonts w:eastAsia="Calibri"/>
        </w:rPr>
        <w:t>/interview of stakeholders</w:t>
      </w:r>
      <w:r w:rsidR="6A8CAACC" w:rsidRPr="685F548B">
        <w:rPr>
          <w:rFonts w:eastAsia="Calibri"/>
        </w:rPr>
        <w:t xml:space="preserve">: </w:t>
      </w:r>
      <w:r w:rsidR="67BB4042" w:rsidRPr="685F548B">
        <w:rPr>
          <w:rFonts w:eastAsia="Calibri"/>
        </w:rPr>
        <w:t>June and July</w:t>
      </w:r>
      <w:r w:rsidR="2A3E4390" w:rsidRPr="685F548B">
        <w:rPr>
          <w:rFonts w:eastAsia="Calibri"/>
        </w:rPr>
        <w:t xml:space="preserve"> (to be completed by 14</w:t>
      </w:r>
      <w:r w:rsidR="2A3E4390" w:rsidRPr="685F548B">
        <w:rPr>
          <w:rFonts w:eastAsia="Calibri"/>
          <w:vertAlign w:val="superscript"/>
        </w:rPr>
        <w:t>th</w:t>
      </w:r>
      <w:r w:rsidR="2A3E4390" w:rsidRPr="685F548B">
        <w:rPr>
          <w:rFonts w:eastAsia="Calibri"/>
        </w:rPr>
        <w:t xml:space="preserve"> July 2023)</w:t>
      </w:r>
    </w:p>
    <w:p w14:paraId="1474FA26" w14:textId="09159C62" w:rsidR="00BB436A" w:rsidRPr="00345E1D" w:rsidRDefault="66DCD5AC" w:rsidP="00345E1D">
      <w:pPr>
        <w:pStyle w:val="Lijstalinea"/>
        <w:numPr>
          <w:ilvl w:val="0"/>
          <w:numId w:val="34"/>
        </w:numPr>
        <w:spacing w:after="200" w:line="240" w:lineRule="auto"/>
        <w:jc w:val="both"/>
        <w:rPr>
          <w:rFonts w:eastAsia="Calibri"/>
        </w:rPr>
      </w:pPr>
      <w:r w:rsidRPr="0D547EA1">
        <w:rPr>
          <w:rFonts w:eastAsia="Calibri"/>
        </w:rPr>
        <w:t xml:space="preserve">Draft MTR report: </w:t>
      </w:r>
      <w:r w:rsidR="10C39524" w:rsidRPr="0D547EA1">
        <w:rPr>
          <w:rFonts w:eastAsia="Calibri"/>
        </w:rPr>
        <w:t>by 18</w:t>
      </w:r>
      <w:r w:rsidR="10C39524" w:rsidRPr="0D547EA1">
        <w:rPr>
          <w:rFonts w:eastAsia="Calibri"/>
          <w:vertAlign w:val="superscript"/>
        </w:rPr>
        <w:t>th</w:t>
      </w:r>
      <w:r w:rsidR="10C39524" w:rsidRPr="0D547EA1">
        <w:rPr>
          <w:rFonts w:eastAsia="Calibri"/>
        </w:rPr>
        <w:t xml:space="preserve"> </w:t>
      </w:r>
      <w:r w:rsidRPr="0D547EA1">
        <w:rPr>
          <w:rFonts w:eastAsia="Calibri"/>
        </w:rPr>
        <w:t>August 2023</w:t>
      </w:r>
      <w:r w:rsidR="46F0AAD8" w:rsidRPr="0D547EA1">
        <w:rPr>
          <w:rFonts w:eastAsia="Calibri"/>
        </w:rPr>
        <w:t xml:space="preserve"> </w:t>
      </w:r>
    </w:p>
    <w:p w14:paraId="552626E0" w14:textId="3C1B57B9" w:rsidR="008E6436" w:rsidRPr="00345E1D" w:rsidRDefault="66DCD5AC" w:rsidP="00345E1D">
      <w:pPr>
        <w:pStyle w:val="Lijstalinea"/>
        <w:numPr>
          <w:ilvl w:val="0"/>
          <w:numId w:val="34"/>
        </w:numPr>
        <w:spacing w:after="200" w:line="240" w:lineRule="auto"/>
        <w:jc w:val="both"/>
        <w:rPr>
          <w:rFonts w:eastAsia="Calibri"/>
        </w:rPr>
      </w:pPr>
      <w:r w:rsidRPr="0D547EA1">
        <w:rPr>
          <w:rFonts w:eastAsia="Calibri"/>
        </w:rPr>
        <w:t xml:space="preserve">Validation workshop: </w:t>
      </w:r>
      <w:r w:rsidR="58416B16" w:rsidRPr="0D547EA1">
        <w:rPr>
          <w:rFonts w:eastAsia="Calibri"/>
        </w:rPr>
        <w:t>by 15</w:t>
      </w:r>
      <w:r w:rsidR="58416B16" w:rsidRPr="0D547EA1">
        <w:rPr>
          <w:rFonts w:eastAsia="Calibri"/>
          <w:vertAlign w:val="superscript"/>
        </w:rPr>
        <w:t>th</w:t>
      </w:r>
      <w:r w:rsidR="58416B16" w:rsidRPr="0D547EA1">
        <w:rPr>
          <w:rFonts w:eastAsia="Calibri"/>
        </w:rPr>
        <w:t xml:space="preserve"> </w:t>
      </w:r>
      <w:r w:rsidRPr="0D547EA1">
        <w:rPr>
          <w:rFonts w:eastAsia="Calibri"/>
        </w:rPr>
        <w:t>September 2023</w:t>
      </w:r>
    </w:p>
    <w:p w14:paraId="0CC19512" w14:textId="036D9008" w:rsidR="008E6436" w:rsidRPr="00345E1D" w:rsidRDefault="66DCD5AC" w:rsidP="00345E1D">
      <w:pPr>
        <w:pStyle w:val="Lijstalinea"/>
        <w:numPr>
          <w:ilvl w:val="0"/>
          <w:numId w:val="34"/>
        </w:numPr>
        <w:spacing w:after="200" w:line="240" w:lineRule="auto"/>
        <w:jc w:val="both"/>
        <w:rPr>
          <w:rFonts w:eastAsia="Calibri"/>
        </w:rPr>
      </w:pPr>
      <w:r w:rsidRPr="0D547EA1">
        <w:rPr>
          <w:rFonts w:eastAsia="Calibri"/>
        </w:rPr>
        <w:t xml:space="preserve">Final report: </w:t>
      </w:r>
      <w:r w:rsidR="1CC12E15" w:rsidRPr="0D547EA1">
        <w:rPr>
          <w:rFonts w:eastAsia="Calibri"/>
        </w:rPr>
        <w:t>by 29</w:t>
      </w:r>
      <w:r w:rsidR="1CC12E15" w:rsidRPr="0D547EA1">
        <w:rPr>
          <w:rFonts w:eastAsia="Calibri"/>
          <w:vertAlign w:val="superscript"/>
        </w:rPr>
        <w:t>th</w:t>
      </w:r>
      <w:r w:rsidR="1CC12E15" w:rsidRPr="0D547EA1">
        <w:rPr>
          <w:rFonts w:eastAsia="Calibri"/>
        </w:rPr>
        <w:t xml:space="preserve"> </w:t>
      </w:r>
      <w:r w:rsidRPr="0D547EA1">
        <w:rPr>
          <w:rFonts w:eastAsia="Calibri"/>
        </w:rPr>
        <w:t>September 2023</w:t>
      </w:r>
    </w:p>
    <w:p w14:paraId="2792DEC8" w14:textId="73DBBC39" w:rsidR="00FD1143" w:rsidRDefault="00E101E2" w:rsidP="30431A5F">
      <w:pPr>
        <w:spacing w:after="200" w:line="240" w:lineRule="auto"/>
        <w:jc w:val="both"/>
        <w:rPr>
          <w:rFonts w:eastAsia="Calibri"/>
        </w:rPr>
      </w:pPr>
      <w:r w:rsidRPr="7418C6BE">
        <w:rPr>
          <w:rFonts w:eastAsia="Calibri"/>
        </w:rPr>
        <w:lastRenderedPageBreak/>
        <w:t xml:space="preserve">Efforts will be made to ensure that interim results are externally verified (e.g. justification of results and discussion on bias) and that the </w:t>
      </w:r>
      <w:r w:rsidR="008E6436">
        <w:rPr>
          <w:rFonts w:eastAsia="Calibri"/>
        </w:rPr>
        <w:t>contribution</w:t>
      </w:r>
      <w:r w:rsidR="008E6436" w:rsidRPr="7418C6BE">
        <w:rPr>
          <w:rFonts w:eastAsia="Calibri"/>
        </w:rPr>
        <w:t xml:space="preserve"> </w:t>
      </w:r>
      <w:r w:rsidRPr="7418C6BE">
        <w:rPr>
          <w:rFonts w:eastAsia="Calibri"/>
        </w:rPr>
        <w:t xml:space="preserve">by the partnership is validated (has the </w:t>
      </w:r>
      <w:proofErr w:type="spellStart"/>
      <w:r w:rsidRPr="7418C6BE">
        <w:rPr>
          <w:rFonts w:eastAsia="Calibri"/>
        </w:rPr>
        <w:t>ToC</w:t>
      </w:r>
      <w:proofErr w:type="spellEnd"/>
      <w:r w:rsidRPr="7418C6BE">
        <w:rPr>
          <w:rFonts w:eastAsia="Calibri"/>
        </w:rPr>
        <w:t xml:space="preserve"> worked, or were there other reasons for the results). This will be a collaborative process between R2G partnership and consultant(s) at country and global levels.</w:t>
      </w:r>
      <w:r w:rsidR="008E6436">
        <w:rPr>
          <w:rFonts w:eastAsia="Calibri"/>
        </w:rPr>
        <w:t xml:space="preserve"> Global MTR Task Force will coordinate collaboration between country and global MTR consultants where necessary, consultants will be expected to share key findings and learning in a global forum.</w:t>
      </w:r>
      <w:r w:rsidRPr="7418C6BE">
        <w:rPr>
          <w:rFonts w:eastAsia="Calibri"/>
        </w:rPr>
        <w:t xml:space="preserve"> </w:t>
      </w:r>
      <w:r w:rsidR="00FD1143" w:rsidRPr="7418C6BE">
        <w:rPr>
          <w:rFonts w:eastAsia="Calibri"/>
        </w:rPr>
        <w:t xml:space="preserve">Internally and as per Grant Agreement, the MTR report will need to </w:t>
      </w:r>
      <w:r w:rsidR="5EDC2C66" w:rsidRPr="7418C6BE">
        <w:rPr>
          <w:rFonts w:eastAsia="Calibri"/>
        </w:rPr>
        <w:t xml:space="preserve">be </w:t>
      </w:r>
      <w:r w:rsidR="00FD1143" w:rsidRPr="7418C6BE">
        <w:rPr>
          <w:rFonts w:eastAsia="Calibri"/>
        </w:rPr>
        <w:t xml:space="preserve">published in IATI. Based on the MTR findings and results, </w:t>
      </w:r>
      <w:r w:rsidR="00127C5B" w:rsidRPr="7418C6BE">
        <w:rPr>
          <w:rFonts w:eastAsia="Calibri"/>
        </w:rPr>
        <w:t>Right2Grow partnership can</w:t>
      </w:r>
      <w:r w:rsidR="00FD1143" w:rsidRPr="7418C6BE">
        <w:rPr>
          <w:rFonts w:eastAsia="Calibri"/>
        </w:rPr>
        <w:t xml:space="preserve"> change the 5-year outcome targets</w:t>
      </w:r>
      <w:r w:rsidR="00127C5B" w:rsidRPr="7418C6BE">
        <w:rPr>
          <w:rFonts w:eastAsia="Calibri"/>
        </w:rPr>
        <w:t xml:space="preserve"> with </w:t>
      </w:r>
      <w:r w:rsidR="00FD1143" w:rsidRPr="7418C6BE">
        <w:rPr>
          <w:rFonts w:eastAsia="Calibri"/>
        </w:rPr>
        <w:t xml:space="preserve">the request for adjustment of </w:t>
      </w:r>
      <w:r w:rsidR="00127C5B" w:rsidRPr="7418C6BE">
        <w:rPr>
          <w:rFonts w:eastAsia="Calibri"/>
        </w:rPr>
        <w:t>targets</w:t>
      </w:r>
      <w:r w:rsidR="00FD1143" w:rsidRPr="7418C6BE">
        <w:rPr>
          <w:rFonts w:eastAsia="Calibri"/>
        </w:rPr>
        <w:t xml:space="preserve"> submitted to MFA together with the MTR supported by a rationale based on the MTR.</w:t>
      </w:r>
    </w:p>
    <w:p w14:paraId="7F6E30FC" w14:textId="4ABAC6E3" w:rsidR="00345E1D" w:rsidRPr="00345E1D" w:rsidRDefault="00345E1D" w:rsidP="00345E1D">
      <w:pPr>
        <w:keepNext/>
        <w:keepLines/>
        <w:spacing w:after="200" w:line="240" w:lineRule="auto"/>
        <w:jc w:val="both"/>
        <w:outlineLvl w:val="2"/>
        <w:rPr>
          <w:rFonts w:eastAsiaTheme="majorEastAsia"/>
          <w:b/>
          <w:bCs/>
          <w:color w:val="4600AB"/>
          <w:kern w:val="10"/>
          <w:sz w:val="32"/>
          <w:szCs w:val="32"/>
        </w:rPr>
      </w:pPr>
      <w:r>
        <w:rPr>
          <w:rFonts w:eastAsiaTheme="majorEastAsia"/>
          <w:b/>
          <w:bCs/>
          <w:color w:val="4600AB"/>
          <w:kern w:val="10"/>
          <w:sz w:val="32"/>
          <w:szCs w:val="32"/>
        </w:rPr>
        <w:t>6</w:t>
      </w:r>
      <w:r w:rsidRPr="00345E1D">
        <w:rPr>
          <w:rFonts w:eastAsiaTheme="majorEastAsia"/>
          <w:b/>
          <w:bCs/>
          <w:color w:val="4600AB"/>
          <w:kern w:val="10"/>
          <w:sz w:val="32"/>
          <w:szCs w:val="32"/>
        </w:rPr>
        <w:t xml:space="preserve">. </w:t>
      </w:r>
      <w:r>
        <w:rPr>
          <w:rFonts w:eastAsiaTheme="majorEastAsia"/>
          <w:b/>
          <w:bCs/>
          <w:color w:val="4600AB"/>
          <w:kern w:val="10"/>
          <w:sz w:val="32"/>
          <w:szCs w:val="32"/>
        </w:rPr>
        <w:t>Roles and responsibilities</w:t>
      </w:r>
    </w:p>
    <w:p w14:paraId="138A32E0" w14:textId="2DD2877B" w:rsidR="00C94A96" w:rsidRPr="00C94A96" w:rsidRDefault="4BCD9F75" w:rsidP="00C94A96">
      <w:pPr>
        <w:spacing w:after="200" w:line="240" w:lineRule="auto"/>
        <w:jc w:val="both"/>
        <w:rPr>
          <w:rFonts w:eastAsia="Calibri"/>
        </w:rPr>
      </w:pPr>
      <w:r w:rsidRPr="6581EEB1">
        <w:rPr>
          <w:rFonts w:eastAsia="Calibri"/>
        </w:rPr>
        <w:t xml:space="preserve">The evaluation will be commissioned by </w:t>
      </w:r>
      <w:r w:rsidR="61468CA0" w:rsidRPr="6581EEB1">
        <w:rPr>
          <w:rFonts w:eastAsia="Calibri"/>
        </w:rPr>
        <w:t>Right2Grow</w:t>
      </w:r>
      <w:r w:rsidRPr="6581EEB1">
        <w:rPr>
          <w:rFonts w:eastAsia="Calibri"/>
        </w:rPr>
        <w:t xml:space="preserve"> and the </w:t>
      </w:r>
      <w:r w:rsidR="7D0EB977" w:rsidRPr="6581EEB1">
        <w:rPr>
          <w:rFonts w:eastAsia="Calibri"/>
        </w:rPr>
        <w:t xml:space="preserve">consultant/consultancy </w:t>
      </w:r>
      <w:r w:rsidRPr="6581EEB1">
        <w:rPr>
          <w:rFonts w:eastAsia="Calibri"/>
        </w:rPr>
        <w:t xml:space="preserve">team will be accountable for its performance to </w:t>
      </w:r>
      <w:r w:rsidR="7D0EB977" w:rsidRPr="6581EEB1">
        <w:rPr>
          <w:rFonts w:eastAsia="Calibri"/>
        </w:rPr>
        <w:t>Right2Grow</w:t>
      </w:r>
      <w:r w:rsidR="54BB74FF" w:rsidRPr="6581EEB1">
        <w:rPr>
          <w:rFonts w:eastAsia="Calibri"/>
        </w:rPr>
        <w:t xml:space="preserve"> through Global Monitoring and Evaluation Lead</w:t>
      </w:r>
      <w:r w:rsidR="7D0EB977" w:rsidRPr="6581EEB1">
        <w:rPr>
          <w:rFonts w:eastAsia="Calibri"/>
        </w:rPr>
        <w:t xml:space="preserve">. </w:t>
      </w:r>
      <w:r w:rsidRPr="6581EEB1">
        <w:rPr>
          <w:rFonts w:eastAsia="Calibri"/>
        </w:rPr>
        <w:t xml:space="preserve">Roles and responsibilities to support a smooth </w:t>
      </w:r>
      <w:r w:rsidR="7D0EB977" w:rsidRPr="6581EEB1">
        <w:rPr>
          <w:rFonts w:eastAsia="Calibri"/>
        </w:rPr>
        <w:t>MTR</w:t>
      </w:r>
      <w:r w:rsidRPr="6581EEB1">
        <w:rPr>
          <w:rFonts w:eastAsia="Calibri"/>
        </w:rPr>
        <w:t xml:space="preserve"> are outlined as follows:</w:t>
      </w:r>
    </w:p>
    <w:p w14:paraId="37CE6868" w14:textId="7A6CCD46" w:rsidR="00C94A96" w:rsidRPr="00345E1D" w:rsidRDefault="00306E78" w:rsidP="00C94A96">
      <w:pPr>
        <w:spacing w:after="200" w:line="240" w:lineRule="auto"/>
        <w:jc w:val="both"/>
        <w:rPr>
          <w:rFonts w:eastAsia="Calibri"/>
        </w:rPr>
      </w:pPr>
      <w:r w:rsidRPr="00345E1D">
        <w:rPr>
          <w:rFonts w:eastAsia="Calibri"/>
        </w:rPr>
        <w:t>Global MTR Task Force</w:t>
      </w:r>
      <w:r w:rsidR="00345E1D">
        <w:rPr>
          <w:rFonts w:eastAsia="Calibri"/>
        </w:rPr>
        <w:t>:</w:t>
      </w:r>
    </w:p>
    <w:p w14:paraId="5480E1FF" w14:textId="77777777" w:rsidR="00A954A5" w:rsidRPr="00345E1D" w:rsidRDefault="00C94A96" w:rsidP="00345E1D">
      <w:pPr>
        <w:pStyle w:val="Lijstalinea"/>
        <w:numPr>
          <w:ilvl w:val="0"/>
          <w:numId w:val="32"/>
        </w:numPr>
        <w:spacing w:after="200" w:line="240" w:lineRule="auto"/>
        <w:jc w:val="both"/>
        <w:rPr>
          <w:rFonts w:eastAsia="Calibri"/>
        </w:rPr>
      </w:pPr>
      <w:r w:rsidRPr="00345E1D">
        <w:rPr>
          <w:rFonts w:eastAsia="Calibri"/>
        </w:rPr>
        <w:t xml:space="preserve">Endorse final version of the Terms of Reference for the </w:t>
      </w:r>
      <w:r w:rsidR="00306E78" w:rsidRPr="00345E1D">
        <w:rPr>
          <w:rFonts w:eastAsia="Calibri"/>
        </w:rPr>
        <w:t>MTR</w:t>
      </w:r>
      <w:r w:rsidR="00A954A5" w:rsidRPr="00345E1D">
        <w:rPr>
          <w:rFonts w:eastAsia="Calibri"/>
        </w:rPr>
        <w:t>;</w:t>
      </w:r>
    </w:p>
    <w:p w14:paraId="3908059E" w14:textId="77777777" w:rsidR="00A954A5" w:rsidRPr="00345E1D" w:rsidRDefault="00C94A96" w:rsidP="00345E1D">
      <w:pPr>
        <w:pStyle w:val="Lijstalinea"/>
        <w:numPr>
          <w:ilvl w:val="0"/>
          <w:numId w:val="32"/>
        </w:numPr>
        <w:spacing w:after="200" w:line="240" w:lineRule="auto"/>
        <w:jc w:val="both"/>
        <w:rPr>
          <w:rFonts w:eastAsia="Calibri"/>
        </w:rPr>
      </w:pPr>
      <w:r w:rsidRPr="00345E1D">
        <w:rPr>
          <w:rFonts w:eastAsia="Calibri"/>
        </w:rPr>
        <w:t xml:space="preserve">Conduct the process to identify the </w:t>
      </w:r>
      <w:r w:rsidR="00A954A5" w:rsidRPr="00345E1D">
        <w:rPr>
          <w:rFonts w:eastAsia="Calibri"/>
        </w:rPr>
        <w:t>consultant/consultancy team</w:t>
      </w:r>
      <w:r w:rsidRPr="00345E1D">
        <w:rPr>
          <w:rFonts w:eastAsia="Calibri"/>
        </w:rPr>
        <w:t xml:space="preserve"> through a process in accordance with standards procedures of </w:t>
      </w:r>
      <w:r w:rsidR="00A954A5" w:rsidRPr="00345E1D">
        <w:rPr>
          <w:rFonts w:eastAsia="Calibri"/>
        </w:rPr>
        <w:t>Right2Grow;</w:t>
      </w:r>
    </w:p>
    <w:p w14:paraId="00B7F29E" w14:textId="362809AD" w:rsidR="00C94A96" w:rsidRPr="00345E1D" w:rsidRDefault="00C94A96" w:rsidP="00345E1D">
      <w:pPr>
        <w:pStyle w:val="Lijstalinea"/>
        <w:numPr>
          <w:ilvl w:val="0"/>
          <w:numId w:val="32"/>
        </w:numPr>
        <w:spacing w:after="200" w:line="240" w:lineRule="auto"/>
        <w:jc w:val="both"/>
        <w:rPr>
          <w:rFonts w:eastAsia="Calibri"/>
        </w:rPr>
      </w:pPr>
      <w:r w:rsidRPr="00345E1D">
        <w:rPr>
          <w:rFonts w:eastAsia="Calibri"/>
        </w:rPr>
        <w:t xml:space="preserve">Responsible for day-to-day management and administration of the </w:t>
      </w:r>
      <w:r w:rsidR="00A954A5" w:rsidRPr="00345E1D">
        <w:rPr>
          <w:rFonts w:eastAsia="Calibri"/>
        </w:rPr>
        <w:t>MTR;</w:t>
      </w:r>
      <w:r w:rsidRPr="00345E1D">
        <w:rPr>
          <w:rFonts w:eastAsia="Calibri"/>
        </w:rPr>
        <w:t xml:space="preserve"> </w:t>
      </w:r>
    </w:p>
    <w:p w14:paraId="3F20C1A6" w14:textId="3DAFCECE" w:rsidR="00A954A5" w:rsidRPr="00345E1D" w:rsidRDefault="00A954A5" w:rsidP="00345E1D">
      <w:pPr>
        <w:pStyle w:val="Lijstalinea"/>
        <w:numPr>
          <w:ilvl w:val="0"/>
          <w:numId w:val="32"/>
        </w:numPr>
        <w:spacing w:after="200" w:line="240" w:lineRule="auto"/>
        <w:jc w:val="both"/>
        <w:rPr>
          <w:rFonts w:eastAsia="Calibri"/>
        </w:rPr>
      </w:pPr>
      <w:r w:rsidRPr="00345E1D">
        <w:rPr>
          <w:rFonts w:eastAsia="Calibri"/>
        </w:rPr>
        <w:t>Coordinate capacity assessment across Right2Grow countries, part of which will feed into global MTR;</w:t>
      </w:r>
    </w:p>
    <w:p w14:paraId="1C9D9306" w14:textId="44EEC7AD" w:rsidR="00A954A5" w:rsidRPr="00345E1D" w:rsidRDefault="00A954A5" w:rsidP="00345E1D">
      <w:pPr>
        <w:pStyle w:val="Lijstalinea"/>
        <w:numPr>
          <w:ilvl w:val="0"/>
          <w:numId w:val="32"/>
        </w:numPr>
        <w:spacing w:after="200" w:line="240" w:lineRule="auto"/>
        <w:jc w:val="both"/>
        <w:rPr>
          <w:rFonts w:eastAsia="Calibri"/>
        </w:rPr>
      </w:pPr>
      <w:r w:rsidRPr="00345E1D">
        <w:rPr>
          <w:rFonts w:eastAsia="Calibri"/>
        </w:rPr>
        <w:t>Coordinate internal Global L&amp;A review, that will feed into global MTR</w:t>
      </w:r>
    </w:p>
    <w:p w14:paraId="023CF328" w14:textId="48449CC6" w:rsidR="00C94A96" w:rsidRPr="00345E1D" w:rsidRDefault="00A954A5" w:rsidP="00345E1D">
      <w:pPr>
        <w:pStyle w:val="Lijstalinea"/>
        <w:numPr>
          <w:ilvl w:val="0"/>
          <w:numId w:val="32"/>
        </w:numPr>
        <w:spacing w:after="200" w:line="240" w:lineRule="auto"/>
        <w:jc w:val="both"/>
        <w:rPr>
          <w:rFonts w:eastAsia="Calibri"/>
        </w:rPr>
      </w:pPr>
      <w:r w:rsidRPr="00345E1D">
        <w:rPr>
          <w:rFonts w:eastAsia="Calibri"/>
        </w:rPr>
        <w:t>M</w:t>
      </w:r>
      <w:r w:rsidR="00C94A96" w:rsidRPr="00345E1D">
        <w:rPr>
          <w:rFonts w:eastAsia="Calibri"/>
        </w:rPr>
        <w:t xml:space="preserve">anaging feedback from reviews of the draft report; and liaising with the </w:t>
      </w:r>
      <w:r w:rsidRPr="00345E1D">
        <w:rPr>
          <w:rFonts w:eastAsia="Calibri"/>
        </w:rPr>
        <w:t>consultant/consultancy</w:t>
      </w:r>
      <w:r w:rsidR="00C94A96" w:rsidRPr="00345E1D">
        <w:rPr>
          <w:rFonts w:eastAsia="Calibri"/>
        </w:rPr>
        <w:t xml:space="preserve"> team throughout to ensure the </w:t>
      </w:r>
      <w:r w:rsidRPr="00345E1D">
        <w:rPr>
          <w:rFonts w:eastAsia="Calibri"/>
        </w:rPr>
        <w:t>MTR</w:t>
      </w:r>
      <w:r w:rsidR="00C94A96" w:rsidRPr="00345E1D">
        <w:rPr>
          <w:rFonts w:eastAsia="Calibri"/>
        </w:rPr>
        <w:t xml:space="preserve"> is being undertaken as agreed</w:t>
      </w:r>
      <w:r w:rsidR="008654DE" w:rsidRPr="00345E1D">
        <w:rPr>
          <w:rFonts w:eastAsia="Calibri"/>
        </w:rPr>
        <w:t>;</w:t>
      </w:r>
    </w:p>
    <w:p w14:paraId="0B3F287B" w14:textId="1C952C06" w:rsidR="008654DE" w:rsidRPr="00345E1D" w:rsidRDefault="008654DE" w:rsidP="00345E1D">
      <w:pPr>
        <w:pStyle w:val="Lijstalinea"/>
        <w:numPr>
          <w:ilvl w:val="0"/>
          <w:numId w:val="32"/>
        </w:numPr>
        <w:spacing w:after="200" w:line="240" w:lineRule="auto"/>
        <w:jc w:val="both"/>
        <w:rPr>
          <w:rFonts w:eastAsia="Calibri"/>
        </w:rPr>
      </w:pPr>
      <w:r w:rsidRPr="2E103032">
        <w:rPr>
          <w:rFonts w:eastAsia="Calibri"/>
        </w:rPr>
        <w:t>Coordinate validation and learning from MTR;</w:t>
      </w:r>
    </w:p>
    <w:p w14:paraId="4E576517" w14:textId="4013E377" w:rsidR="5EA49C29" w:rsidRDefault="5EA49C29" w:rsidP="2E103032">
      <w:pPr>
        <w:pStyle w:val="Lijstalinea"/>
        <w:numPr>
          <w:ilvl w:val="0"/>
          <w:numId w:val="32"/>
        </w:numPr>
        <w:spacing w:after="200" w:line="240" w:lineRule="auto"/>
        <w:jc w:val="both"/>
        <w:rPr>
          <w:rFonts w:eastAsia="Calibri"/>
        </w:rPr>
      </w:pPr>
      <w:r w:rsidRPr="6B395109">
        <w:rPr>
          <w:rFonts w:eastAsia="Calibri"/>
        </w:rPr>
        <w:t xml:space="preserve">Synthesize Global MTR report, with </w:t>
      </w:r>
      <w:r w:rsidR="6EAE93A7" w:rsidRPr="6B395109">
        <w:rPr>
          <w:rFonts w:eastAsia="Calibri"/>
        </w:rPr>
        <w:t xml:space="preserve">L&amp;A, Partnership and Cost Structure components and </w:t>
      </w:r>
      <w:r w:rsidRPr="6B395109">
        <w:rPr>
          <w:rFonts w:eastAsia="Calibri"/>
        </w:rPr>
        <w:t>country reports as Annexes</w:t>
      </w:r>
    </w:p>
    <w:p w14:paraId="4047527E" w14:textId="47FB9C4F" w:rsidR="00C94A96" w:rsidRPr="00345E1D" w:rsidRDefault="00C94A96" w:rsidP="00345E1D">
      <w:pPr>
        <w:pStyle w:val="Lijstalinea"/>
        <w:numPr>
          <w:ilvl w:val="0"/>
          <w:numId w:val="32"/>
        </w:numPr>
        <w:spacing w:after="200" w:line="240" w:lineRule="auto"/>
        <w:jc w:val="both"/>
        <w:rPr>
          <w:rFonts w:eastAsia="Calibri"/>
        </w:rPr>
      </w:pPr>
      <w:r w:rsidRPr="2E103032">
        <w:rPr>
          <w:rFonts w:eastAsia="Calibri"/>
        </w:rPr>
        <w:t xml:space="preserve">Ensure the </w:t>
      </w:r>
      <w:r w:rsidR="00A954A5" w:rsidRPr="2E103032">
        <w:rPr>
          <w:rFonts w:eastAsia="Calibri"/>
        </w:rPr>
        <w:t>MTR</w:t>
      </w:r>
      <w:r w:rsidRPr="2E103032">
        <w:rPr>
          <w:rFonts w:eastAsia="Calibri"/>
        </w:rPr>
        <w:t xml:space="preserve"> is fit-for-purpose and serve as a key contact point for the </w:t>
      </w:r>
      <w:r w:rsidR="00C3493B" w:rsidRPr="2E103032">
        <w:rPr>
          <w:rFonts w:eastAsia="Calibri"/>
        </w:rPr>
        <w:t>Consultant/Consultancy team</w:t>
      </w:r>
      <w:r w:rsidR="008654DE" w:rsidRPr="2E103032">
        <w:rPr>
          <w:rFonts w:eastAsia="Calibri"/>
        </w:rPr>
        <w:t>.</w:t>
      </w:r>
    </w:p>
    <w:p w14:paraId="04AEB8FE" w14:textId="3B0BFC54" w:rsidR="008654DE" w:rsidRPr="00345E1D" w:rsidRDefault="008654DE" w:rsidP="00C94A96">
      <w:pPr>
        <w:spacing w:after="200" w:line="240" w:lineRule="auto"/>
        <w:jc w:val="both"/>
        <w:rPr>
          <w:rFonts w:eastAsia="Calibri"/>
        </w:rPr>
      </w:pPr>
      <w:r w:rsidRPr="00345E1D">
        <w:rPr>
          <w:rFonts w:eastAsia="Calibri"/>
        </w:rPr>
        <w:t>Consultant/consultancy team</w:t>
      </w:r>
      <w:r w:rsidR="00345E1D">
        <w:rPr>
          <w:rFonts w:eastAsia="Calibri"/>
        </w:rPr>
        <w:t>:</w:t>
      </w:r>
    </w:p>
    <w:p w14:paraId="14EC4ABB" w14:textId="47FB2A09" w:rsidR="008654DE" w:rsidRPr="00345E1D" w:rsidRDefault="008654DE" w:rsidP="00345E1D">
      <w:pPr>
        <w:pStyle w:val="Lijstalinea"/>
        <w:numPr>
          <w:ilvl w:val="0"/>
          <w:numId w:val="33"/>
        </w:numPr>
        <w:spacing w:after="200" w:line="240" w:lineRule="auto"/>
        <w:jc w:val="both"/>
        <w:rPr>
          <w:rFonts w:eastAsia="Calibri"/>
        </w:rPr>
      </w:pPr>
      <w:r w:rsidRPr="00345E1D">
        <w:rPr>
          <w:rFonts w:eastAsia="Calibri"/>
        </w:rPr>
        <w:t>Develop inception report, including evaluation matrix detailing methods, data sources and data collection tools per evaluation question; detailed methodology and tools;</w:t>
      </w:r>
    </w:p>
    <w:p w14:paraId="1D0564D3" w14:textId="108AFB85" w:rsidR="008654DE" w:rsidRPr="00345E1D" w:rsidRDefault="008654DE" w:rsidP="00345E1D">
      <w:pPr>
        <w:pStyle w:val="Lijstalinea"/>
        <w:numPr>
          <w:ilvl w:val="0"/>
          <w:numId w:val="33"/>
        </w:numPr>
        <w:spacing w:after="200" w:line="240" w:lineRule="auto"/>
        <w:jc w:val="both"/>
        <w:rPr>
          <w:rFonts w:eastAsia="Calibri"/>
        </w:rPr>
      </w:pPr>
      <w:r w:rsidRPr="00345E1D">
        <w:rPr>
          <w:rFonts w:eastAsia="Calibri"/>
        </w:rPr>
        <w:t>Conduct desk review and data collection/interviews of stakeholders;</w:t>
      </w:r>
    </w:p>
    <w:p w14:paraId="3EDFCBFF" w14:textId="33745A22" w:rsidR="008654DE" w:rsidRPr="00345E1D" w:rsidRDefault="1BEBDFCD" w:rsidP="00345E1D">
      <w:pPr>
        <w:pStyle w:val="Lijstalinea"/>
        <w:numPr>
          <w:ilvl w:val="0"/>
          <w:numId w:val="33"/>
        </w:numPr>
        <w:spacing w:after="200" w:line="240" w:lineRule="auto"/>
        <w:jc w:val="both"/>
        <w:rPr>
          <w:rFonts w:eastAsia="Calibri"/>
        </w:rPr>
      </w:pPr>
      <w:r w:rsidRPr="7536D19F">
        <w:rPr>
          <w:rFonts w:eastAsia="Calibri"/>
        </w:rPr>
        <w:t>Liaise with national-level consultants where necessary</w:t>
      </w:r>
      <w:r w:rsidR="01D28CEF" w:rsidRPr="7536D19F">
        <w:rPr>
          <w:rFonts w:eastAsia="Calibri"/>
        </w:rPr>
        <w:t xml:space="preserve"> to clarify/validate key findings and emerging issues</w:t>
      </w:r>
      <w:r w:rsidRPr="7536D19F">
        <w:rPr>
          <w:rFonts w:eastAsia="Calibri"/>
        </w:rPr>
        <w:t xml:space="preserve">; </w:t>
      </w:r>
    </w:p>
    <w:p w14:paraId="2B52F3E0" w14:textId="4362226E" w:rsidR="008654DE" w:rsidRPr="00345E1D" w:rsidRDefault="008654DE" w:rsidP="00345E1D">
      <w:pPr>
        <w:pStyle w:val="Lijstalinea"/>
        <w:numPr>
          <w:ilvl w:val="0"/>
          <w:numId w:val="33"/>
        </w:numPr>
        <w:spacing w:after="200" w:line="240" w:lineRule="auto"/>
        <w:jc w:val="both"/>
        <w:rPr>
          <w:rFonts w:eastAsia="Calibri"/>
        </w:rPr>
      </w:pPr>
      <w:r w:rsidRPr="6B395109">
        <w:rPr>
          <w:rFonts w:eastAsia="Calibri"/>
        </w:rPr>
        <w:t xml:space="preserve">Compile draft report </w:t>
      </w:r>
      <w:r w:rsidR="1ED5AF07" w:rsidRPr="6B395109">
        <w:rPr>
          <w:rFonts w:eastAsia="Calibri"/>
        </w:rPr>
        <w:t xml:space="preserve">(for external review only) </w:t>
      </w:r>
      <w:r w:rsidRPr="6B395109">
        <w:rPr>
          <w:rFonts w:eastAsia="Calibri"/>
        </w:rPr>
        <w:t>in line with agreed reporting format;</w:t>
      </w:r>
    </w:p>
    <w:p w14:paraId="5AD17395" w14:textId="7B6B36DE" w:rsidR="008654DE" w:rsidRPr="00345E1D" w:rsidRDefault="008654DE" w:rsidP="00345E1D">
      <w:pPr>
        <w:pStyle w:val="Lijstalinea"/>
        <w:numPr>
          <w:ilvl w:val="0"/>
          <w:numId w:val="33"/>
        </w:numPr>
        <w:spacing w:after="200" w:line="240" w:lineRule="auto"/>
        <w:jc w:val="both"/>
        <w:rPr>
          <w:rFonts w:eastAsia="Calibri"/>
        </w:rPr>
      </w:pPr>
      <w:r w:rsidRPr="00345E1D">
        <w:rPr>
          <w:rFonts w:eastAsia="Calibri"/>
        </w:rPr>
        <w:t>Present draft report for validation;</w:t>
      </w:r>
    </w:p>
    <w:p w14:paraId="5B24DFDA" w14:textId="7CDD398E" w:rsidR="008654DE" w:rsidRPr="00345E1D" w:rsidRDefault="008654DE" w:rsidP="00345E1D">
      <w:pPr>
        <w:pStyle w:val="Lijstalinea"/>
        <w:numPr>
          <w:ilvl w:val="0"/>
          <w:numId w:val="33"/>
        </w:numPr>
        <w:spacing w:after="200" w:line="240" w:lineRule="auto"/>
        <w:jc w:val="both"/>
        <w:rPr>
          <w:rFonts w:eastAsia="Calibri"/>
        </w:rPr>
      </w:pPr>
      <w:r w:rsidRPr="00345E1D">
        <w:rPr>
          <w:rFonts w:eastAsia="Calibri"/>
        </w:rPr>
        <w:t>Compile final report</w:t>
      </w:r>
    </w:p>
    <w:p w14:paraId="6CC1CC33" w14:textId="0ACA4120" w:rsidR="008654DE" w:rsidRPr="00345E1D" w:rsidRDefault="008654DE" w:rsidP="00345E1D">
      <w:pPr>
        <w:pStyle w:val="Lijstalinea"/>
        <w:numPr>
          <w:ilvl w:val="0"/>
          <w:numId w:val="33"/>
        </w:numPr>
        <w:spacing w:after="200" w:line="240" w:lineRule="auto"/>
        <w:jc w:val="both"/>
        <w:rPr>
          <w:rFonts w:eastAsia="Calibri"/>
        </w:rPr>
      </w:pPr>
      <w:r w:rsidRPr="00345E1D">
        <w:rPr>
          <w:rFonts w:eastAsia="Calibri"/>
        </w:rPr>
        <w:t xml:space="preserve">Make brief presentation </w:t>
      </w:r>
      <w:r w:rsidR="00A77CE7" w:rsidRPr="00345E1D">
        <w:rPr>
          <w:rFonts w:eastAsia="Calibri"/>
        </w:rPr>
        <w:t>during global MTR learning session</w:t>
      </w:r>
    </w:p>
    <w:p w14:paraId="58023B28" w14:textId="71171BA1" w:rsidR="000C5869" w:rsidRPr="00A22E73" w:rsidRDefault="00345E1D" w:rsidP="2AFC856B">
      <w:pPr>
        <w:pStyle w:val="Kop3"/>
        <w:spacing w:before="0" w:after="200" w:line="240" w:lineRule="auto"/>
        <w:jc w:val="both"/>
        <w:rPr>
          <w:rFonts w:asciiTheme="minorHAnsi" w:hAnsiTheme="minorHAnsi" w:cstheme="minorBidi"/>
          <w:b/>
          <w:bCs/>
          <w:color w:val="4600AB"/>
          <w:kern w:val="10"/>
          <w:sz w:val="32"/>
          <w:szCs w:val="32"/>
        </w:rPr>
      </w:pPr>
      <w:r>
        <w:rPr>
          <w:rFonts w:asciiTheme="minorHAnsi" w:hAnsiTheme="minorHAnsi" w:cstheme="minorBidi"/>
          <w:b/>
          <w:bCs/>
          <w:color w:val="4600AB"/>
          <w:kern w:val="10"/>
          <w:sz w:val="32"/>
          <w:szCs w:val="32"/>
        </w:rPr>
        <w:lastRenderedPageBreak/>
        <w:t>7</w:t>
      </w:r>
      <w:r w:rsidR="03CF6808" w:rsidRPr="2AFC856B">
        <w:rPr>
          <w:rFonts w:asciiTheme="minorHAnsi" w:hAnsiTheme="minorHAnsi" w:cstheme="minorBidi"/>
          <w:b/>
          <w:bCs/>
          <w:color w:val="4600AB"/>
          <w:kern w:val="10"/>
          <w:sz w:val="32"/>
          <w:szCs w:val="32"/>
        </w:rPr>
        <w:t xml:space="preserve">. </w:t>
      </w:r>
      <w:r w:rsidR="001F3EEB" w:rsidRPr="2AFC856B">
        <w:rPr>
          <w:rFonts w:asciiTheme="minorHAnsi" w:hAnsiTheme="minorHAnsi" w:cstheme="minorBidi"/>
          <w:b/>
          <w:bCs/>
          <w:color w:val="4600AB"/>
          <w:kern w:val="10"/>
          <w:sz w:val="32"/>
          <w:szCs w:val="32"/>
        </w:rPr>
        <w:t>Successful Applicants</w:t>
      </w:r>
    </w:p>
    <w:p w14:paraId="7CE6800E" w14:textId="1CA684E6" w:rsidR="001F3EEB" w:rsidRPr="001F3EEB" w:rsidRDefault="0E162D74" w:rsidP="001F3EEB">
      <w:pPr>
        <w:spacing w:after="200" w:line="240" w:lineRule="auto"/>
        <w:jc w:val="both"/>
        <w:rPr>
          <w:rFonts w:eastAsia="Calibri"/>
        </w:rPr>
      </w:pPr>
      <w:r w:rsidRPr="7536D19F">
        <w:rPr>
          <w:rFonts w:eastAsia="Calibri"/>
        </w:rPr>
        <w:t xml:space="preserve">We </w:t>
      </w:r>
      <w:r w:rsidR="2DADE852" w:rsidRPr="7536D19F">
        <w:rPr>
          <w:rFonts w:eastAsia="Calibri"/>
        </w:rPr>
        <w:t xml:space="preserve">invite </w:t>
      </w:r>
      <w:r w:rsidRPr="7536D19F">
        <w:rPr>
          <w:rFonts w:eastAsia="Calibri"/>
        </w:rPr>
        <w:t xml:space="preserve">applications that reflect a collaboration of multiple </w:t>
      </w:r>
      <w:proofErr w:type="spellStart"/>
      <w:r w:rsidRPr="7536D19F">
        <w:rPr>
          <w:rFonts w:eastAsia="Calibri"/>
        </w:rPr>
        <w:t>organisations</w:t>
      </w:r>
      <w:proofErr w:type="spellEnd"/>
      <w:r w:rsidRPr="7536D19F">
        <w:rPr>
          <w:rFonts w:eastAsia="Calibri"/>
        </w:rPr>
        <w:t xml:space="preserve"> for this a</w:t>
      </w:r>
      <w:r w:rsidR="17A8F27D" w:rsidRPr="7536D19F">
        <w:rPr>
          <w:rFonts w:eastAsia="Calibri"/>
        </w:rPr>
        <w:t>ssignment.</w:t>
      </w:r>
      <w:r w:rsidRPr="7536D19F">
        <w:rPr>
          <w:rFonts w:eastAsia="Calibri"/>
        </w:rPr>
        <w:t xml:space="preserve"> </w:t>
      </w:r>
      <w:r w:rsidR="0D4F03E7" w:rsidRPr="7536D19F">
        <w:rPr>
          <w:rFonts w:eastAsia="Calibri"/>
        </w:rPr>
        <w:t>R</w:t>
      </w:r>
      <w:r w:rsidRPr="7536D19F">
        <w:rPr>
          <w:rFonts w:eastAsia="Calibri"/>
        </w:rPr>
        <w:t>esearch institutes and/or independent researchers/consultants can collaborate in order to conduct the mid-term review</w:t>
      </w:r>
      <w:r w:rsidR="03445FBC" w:rsidRPr="7536D19F">
        <w:rPr>
          <w:rFonts w:eastAsia="Calibri"/>
        </w:rPr>
        <w:t xml:space="preserve">, it is preferred that </w:t>
      </w:r>
      <w:r w:rsidR="0E8C267C" w:rsidRPr="7536D19F">
        <w:rPr>
          <w:rFonts w:eastAsia="Calibri"/>
        </w:rPr>
        <w:t xml:space="preserve">consultancy </w:t>
      </w:r>
      <w:r w:rsidR="03445FBC" w:rsidRPr="7536D19F">
        <w:rPr>
          <w:rFonts w:eastAsia="Calibri"/>
        </w:rPr>
        <w:t>team</w:t>
      </w:r>
      <w:r w:rsidR="14F2BCE0" w:rsidRPr="7536D19F">
        <w:rPr>
          <w:rFonts w:eastAsia="Calibri"/>
        </w:rPr>
        <w:t>s</w:t>
      </w:r>
      <w:r w:rsidR="03445FBC" w:rsidRPr="7536D19F">
        <w:rPr>
          <w:rFonts w:eastAsia="Calibri"/>
        </w:rPr>
        <w:t xml:space="preserve"> should inc</w:t>
      </w:r>
      <w:r w:rsidR="175A87BF" w:rsidRPr="7536D19F">
        <w:rPr>
          <w:rFonts w:eastAsia="Calibri"/>
        </w:rPr>
        <w:t>orporate</w:t>
      </w:r>
      <w:r w:rsidR="03445FBC" w:rsidRPr="7536D19F">
        <w:rPr>
          <w:rFonts w:eastAsia="Calibri"/>
        </w:rPr>
        <w:t xml:space="preserve"> </w:t>
      </w:r>
      <w:r w:rsidR="48C2E483" w:rsidRPr="7536D19F">
        <w:rPr>
          <w:rFonts w:eastAsia="Calibri"/>
        </w:rPr>
        <w:t>members</w:t>
      </w:r>
      <w:r w:rsidR="03445FBC" w:rsidRPr="7536D19F">
        <w:rPr>
          <w:rFonts w:eastAsia="Calibri"/>
        </w:rPr>
        <w:t xml:space="preserve"> from the Global South</w:t>
      </w:r>
      <w:r w:rsidRPr="7536D19F">
        <w:rPr>
          <w:rFonts w:eastAsia="Calibri"/>
        </w:rPr>
        <w:t xml:space="preserve">. </w:t>
      </w:r>
      <w:r w:rsidR="1B620A62" w:rsidRPr="7536D19F">
        <w:rPr>
          <w:rFonts w:eastAsia="Calibri"/>
        </w:rPr>
        <w:t xml:space="preserve">The successful </w:t>
      </w:r>
      <w:r w:rsidR="2DADE852" w:rsidRPr="7536D19F">
        <w:rPr>
          <w:rFonts w:eastAsia="Calibri"/>
        </w:rPr>
        <w:t>applicant</w:t>
      </w:r>
      <w:r w:rsidR="236DBB01" w:rsidRPr="7536D19F">
        <w:rPr>
          <w:rFonts w:eastAsia="Calibri"/>
        </w:rPr>
        <w:t>(s)</w:t>
      </w:r>
      <w:r w:rsidR="12510598" w:rsidRPr="7536D19F">
        <w:rPr>
          <w:rFonts w:eastAsia="Calibri"/>
        </w:rPr>
        <w:t xml:space="preserve"> </w:t>
      </w:r>
      <w:r w:rsidR="2DADE852" w:rsidRPr="7536D19F">
        <w:rPr>
          <w:rFonts w:eastAsia="Calibri"/>
        </w:rPr>
        <w:t>should</w:t>
      </w:r>
      <w:r w:rsidR="1B620A62" w:rsidRPr="7536D19F">
        <w:rPr>
          <w:rFonts w:eastAsia="Calibri"/>
        </w:rPr>
        <w:t xml:space="preserve"> meet </w:t>
      </w:r>
      <w:r w:rsidR="2DADE852" w:rsidRPr="7536D19F">
        <w:rPr>
          <w:rFonts w:eastAsia="Calibri"/>
        </w:rPr>
        <w:t xml:space="preserve">the following </w:t>
      </w:r>
      <w:r w:rsidR="1B620A62" w:rsidRPr="7536D19F">
        <w:rPr>
          <w:rFonts w:eastAsia="Calibri"/>
        </w:rPr>
        <w:t>desired criteria</w:t>
      </w:r>
      <w:r w:rsidR="6282795B" w:rsidRPr="7536D19F">
        <w:rPr>
          <w:rFonts w:eastAsia="Calibri"/>
        </w:rPr>
        <w:t xml:space="preserve">, </w:t>
      </w:r>
      <w:r w:rsidR="12510598" w:rsidRPr="7536D19F">
        <w:rPr>
          <w:rFonts w:eastAsia="Calibri"/>
        </w:rPr>
        <w:t>which can be covered by multiple team members</w:t>
      </w:r>
      <w:r w:rsidR="1B620A62" w:rsidRPr="7536D19F">
        <w:rPr>
          <w:rFonts w:eastAsia="Calibri"/>
        </w:rPr>
        <w:t xml:space="preserve">: </w:t>
      </w:r>
    </w:p>
    <w:p w14:paraId="6CD845A1" w14:textId="0A75A34E" w:rsidR="001F3EEB" w:rsidRPr="00B2535E" w:rsidRDefault="5FEE76B3" w:rsidP="00B2535E">
      <w:pPr>
        <w:pStyle w:val="Lijstalinea"/>
        <w:numPr>
          <w:ilvl w:val="0"/>
          <w:numId w:val="29"/>
        </w:numPr>
        <w:spacing w:after="200" w:line="240" w:lineRule="auto"/>
        <w:jc w:val="both"/>
        <w:rPr>
          <w:rFonts w:eastAsia="Calibri"/>
        </w:rPr>
      </w:pPr>
      <w:r w:rsidRPr="6581EEB1">
        <w:rPr>
          <w:rFonts w:eastAsia="Calibri"/>
        </w:rPr>
        <w:t>Master’s degree in social sciences</w:t>
      </w:r>
      <w:r w:rsidR="3D93BBE7" w:rsidRPr="6581EEB1">
        <w:rPr>
          <w:rFonts w:eastAsia="Calibri"/>
        </w:rPr>
        <w:t>,</w:t>
      </w:r>
      <w:r w:rsidRPr="6581EEB1">
        <w:rPr>
          <w:rFonts w:eastAsia="Calibri"/>
        </w:rPr>
        <w:t xml:space="preserve"> </w:t>
      </w:r>
      <w:r w:rsidR="0208CA2A" w:rsidRPr="6581EEB1">
        <w:rPr>
          <w:rFonts w:eastAsia="Calibri"/>
        </w:rPr>
        <w:t>Organizational Development</w:t>
      </w:r>
      <w:r w:rsidR="038583AA" w:rsidRPr="6581EEB1">
        <w:rPr>
          <w:rFonts w:eastAsia="Calibri"/>
        </w:rPr>
        <w:t xml:space="preserve"> </w:t>
      </w:r>
      <w:r w:rsidR="56D3E02B" w:rsidRPr="6581EEB1">
        <w:rPr>
          <w:rFonts w:eastAsia="Calibri"/>
        </w:rPr>
        <w:t xml:space="preserve">or related field </w:t>
      </w:r>
      <w:r w:rsidRPr="6581EEB1">
        <w:rPr>
          <w:rFonts w:eastAsia="Calibri"/>
        </w:rPr>
        <w:t xml:space="preserve">and advanced skills in qualitative research methodologies; </w:t>
      </w:r>
    </w:p>
    <w:p w14:paraId="68AA2E67" w14:textId="77777777" w:rsidR="00A3161C" w:rsidRDefault="00A3161C" w:rsidP="00A3161C">
      <w:pPr>
        <w:pStyle w:val="Lijstalinea"/>
        <w:numPr>
          <w:ilvl w:val="0"/>
          <w:numId w:val="29"/>
        </w:numPr>
        <w:spacing w:after="200" w:line="240" w:lineRule="auto"/>
        <w:jc w:val="both"/>
        <w:rPr>
          <w:rFonts w:eastAsia="Calibri" w:cstheme="minorHAnsi"/>
          <w:szCs w:val="24"/>
        </w:rPr>
      </w:pPr>
      <w:r>
        <w:rPr>
          <w:rFonts w:eastAsia="Calibri" w:cstheme="minorHAnsi"/>
          <w:szCs w:val="24"/>
        </w:rPr>
        <w:t xml:space="preserve">Demonstrable </w:t>
      </w:r>
      <w:r w:rsidRPr="009A5D11">
        <w:rPr>
          <w:rFonts w:eastAsia="Calibri" w:cstheme="minorHAnsi"/>
          <w:szCs w:val="24"/>
        </w:rPr>
        <w:t>experience evaluating partnership</w:t>
      </w:r>
      <w:r>
        <w:rPr>
          <w:rFonts w:eastAsia="Calibri" w:cstheme="minorHAnsi"/>
          <w:szCs w:val="24"/>
        </w:rPr>
        <w:t>s</w:t>
      </w:r>
      <w:r w:rsidRPr="009A5D11">
        <w:rPr>
          <w:rFonts w:eastAsia="Calibri" w:cstheme="minorHAnsi"/>
          <w:szCs w:val="24"/>
        </w:rPr>
        <w:t xml:space="preserve"> and </w:t>
      </w:r>
      <w:r>
        <w:rPr>
          <w:rFonts w:eastAsia="Calibri" w:cstheme="minorHAnsi"/>
          <w:szCs w:val="24"/>
        </w:rPr>
        <w:t>collaboration</w:t>
      </w:r>
      <w:r w:rsidRPr="009A5D11">
        <w:rPr>
          <w:rFonts w:eastAsia="Calibri" w:cstheme="minorHAnsi"/>
          <w:szCs w:val="24"/>
        </w:rPr>
        <w:t xml:space="preserve"> of a consortium </w:t>
      </w:r>
      <w:proofErr w:type="spellStart"/>
      <w:r w:rsidRPr="009A5D11">
        <w:rPr>
          <w:rFonts w:eastAsia="Calibri" w:cstheme="minorHAnsi"/>
          <w:szCs w:val="24"/>
        </w:rPr>
        <w:t>programme</w:t>
      </w:r>
      <w:proofErr w:type="spellEnd"/>
      <w:r>
        <w:rPr>
          <w:rFonts w:eastAsia="Calibri" w:cstheme="minorHAnsi"/>
          <w:szCs w:val="24"/>
        </w:rPr>
        <w:t xml:space="preserve"> in multiple countries; </w:t>
      </w:r>
    </w:p>
    <w:p w14:paraId="3ABA9D1E" w14:textId="126E8A55" w:rsidR="001F3EEB" w:rsidRDefault="001F3EEB" w:rsidP="00B2535E">
      <w:pPr>
        <w:pStyle w:val="Lijstalinea"/>
        <w:numPr>
          <w:ilvl w:val="0"/>
          <w:numId w:val="29"/>
        </w:numPr>
        <w:spacing w:after="200" w:line="240" w:lineRule="auto"/>
        <w:jc w:val="both"/>
        <w:rPr>
          <w:rFonts w:eastAsia="Calibri"/>
        </w:rPr>
      </w:pPr>
      <w:r w:rsidRPr="3B94F9B7">
        <w:rPr>
          <w:rFonts w:eastAsia="Calibri"/>
        </w:rPr>
        <w:t xml:space="preserve">Proven track record in the evaluation of advocacy </w:t>
      </w:r>
      <w:proofErr w:type="spellStart"/>
      <w:r w:rsidRPr="3B94F9B7">
        <w:rPr>
          <w:rFonts w:eastAsia="Calibri"/>
        </w:rPr>
        <w:t>programmes</w:t>
      </w:r>
      <w:proofErr w:type="spellEnd"/>
      <w:r w:rsidRPr="3B94F9B7">
        <w:rPr>
          <w:rFonts w:eastAsia="Calibri"/>
        </w:rPr>
        <w:t xml:space="preserve">, gender-transformative lobbying and advocacy, policymaking and legislation, particularly in long-term assignments such as this one, that have been implemented in multiple countries; </w:t>
      </w:r>
    </w:p>
    <w:p w14:paraId="39CC5A20" w14:textId="2AAD109C" w:rsidR="009A5D11" w:rsidRPr="00B2535E" w:rsidRDefault="3B0CB581" w:rsidP="00B2535E">
      <w:pPr>
        <w:pStyle w:val="Lijstalinea"/>
        <w:numPr>
          <w:ilvl w:val="0"/>
          <w:numId w:val="29"/>
        </w:numPr>
        <w:spacing w:after="200" w:line="240" w:lineRule="auto"/>
        <w:jc w:val="both"/>
        <w:rPr>
          <w:rFonts w:eastAsia="Calibri"/>
        </w:rPr>
      </w:pPr>
      <w:r w:rsidRPr="7536D19F">
        <w:rPr>
          <w:rFonts w:eastAsia="Calibri"/>
        </w:rPr>
        <w:t>Knowledge of Dutch Government Development Cooperation</w:t>
      </w:r>
      <w:r w:rsidR="40C09F11" w:rsidRPr="7536D19F">
        <w:rPr>
          <w:rFonts w:eastAsia="Calibri"/>
        </w:rPr>
        <w:t xml:space="preserve"> is an asset</w:t>
      </w:r>
      <w:r w:rsidRPr="7536D19F">
        <w:rPr>
          <w:rFonts w:eastAsia="Calibri"/>
        </w:rPr>
        <w:t>;</w:t>
      </w:r>
    </w:p>
    <w:p w14:paraId="242A63FD" w14:textId="44E69BC2" w:rsidR="001F3EEB" w:rsidRDefault="001F3EEB" w:rsidP="00B2535E">
      <w:pPr>
        <w:pStyle w:val="Lijstalinea"/>
        <w:numPr>
          <w:ilvl w:val="0"/>
          <w:numId w:val="29"/>
        </w:numPr>
        <w:spacing w:after="200" w:line="240" w:lineRule="auto"/>
        <w:jc w:val="both"/>
        <w:rPr>
          <w:rFonts w:eastAsia="Calibri" w:cstheme="minorHAnsi"/>
          <w:szCs w:val="24"/>
        </w:rPr>
      </w:pPr>
      <w:r w:rsidRPr="00B2535E">
        <w:rPr>
          <w:rFonts w:eastAsia="Calibri" w:cstheme="minorHAnsi"/>
          <w:szCs w:val="24"/>
        </w:rPr>
        <w:t xml:space="preserve">At least five years’ experience in </w:t>
      </w:r>
      <w:r w:rsidR="009A5D11">
        <w:rPr>
          <w:rFonts w:eastAsia="Calibri" w:cstheme="minorHAnsi"/>
          <w:szCs w:val="24"/>
        </w:rPr>
        <w:t xml:space="preserve">evaluating </w:t>
      </w:r>
      <w:r w:rsidRPr="00B2535E">
        <w:rPr>
          <w:rFonts w:eastAsia="Calibri" w:cstheme="minorHAnsi"/>
          <w:szCs w:val="24"/>
        </w:rPr>
        <w:t xml:space="preserve">development </w:t>
      </w:r>
      <w:proofErr w:type="spellStart"/>
      <w:r w:rsidR="009A5D11">
        <w:rPr>
          <w:rFonts w:eastAsia="Calibri" w:cstheme="minorHAnsi"/>
          <w:szCs w:val="24"/>
        </w:rPr>
        <w:t>programmes</w:t>
      </w:r>
      <w:proofErr w:type="spellEnd"/>
      <w:r w:rsidRPr="00B2535E">
        <w:rPr>
          <w:rFonts w:eastAsia="Calibri" w:cstheme="minorHAnsi"/>
          <w:szCs w:val="24"/>
        </w:rPr>
        <w:t xml:space="preserve">; </w:t>
      </w:r>
    </w:p>
    <w:p w14:paraId="7E4D0F29" w14:textId="12AF2F5C" w:rsidR="00071CB9" w:rsidRPr="00B2535E" w:rsidRDefault="00071CB9" w:rsidP="00B2535E">
      <w:pPr>
        <w:pStyle w:val="Lijstalinea"/>
        <w:numPr>
          <w:ilvl w:val="0"/>
          <w:numId w:val="29"/>
        </w:numPr>
        <w:spacing w:after="200" w:line="240" w:lineRule="auto"/>
        <w:jc w:val="both"/>
        <w:rPr>
          <w:rFonts w:eastAsia="Calibri" w:cstheme="minorHAnsi"/>
          <w:szCs w:val="24"/>
        </w:rPr>
      </w:pPr>
      <w:r>
        <w:rPr>
          <w:rFonts w:eastAsia="Calibri" w:cstheme="minorHAnsi"/>
          <w:szCs w:val="24"/>
        </w:rPr>
        <w:t>Experience in assessment of costs and costing structures of consortium arrangements/</w:t>
      </w:r>
      <w:proofErr w:type="spellStart"/>
      <w:r>
        <w:rPr>
          <w:rFonts w:eastAsia="Calibri" w:cstheme="minorHAnsi"/>
          <w:szCs w:val="24"/>
        </w:rPr>
        <w:t>programmes</w:t>
      </w:r>
      <w:proofErr w:type="spellEnd"/>
      <w:r>
        <w:rPr>
          <w:rFonts w:eastAsia="Calibri" w:cstheme="minorHAnsi"/>
          <w:szCs w:val="24"/>
        </w:rPr>
        <w:t>;</w:t>
      </w:r>
    </w:p>
    <w:p w14:paraId="7515325F" w14:textId="5F4EC17A" w:rsidR="001F3EEB" w:rsidRPr="00B2535E" w:rsidRDefault="566C4427" w:rsidP="12FF5434">
      <w:pPr>
        <w:pStyle w:val="Lijstalinea"/>
        <w:numPr>
          <w:ilvl w:val="0"/>
          <w:numId w:val="29"/>
        </w:numPr>
        <w:spacing w:after="200" w:line="240" w:lineRule="auto"/>
        <w:jc w:val="both"/>
        <w:rPr>
          <w:rFonts w:eastAsia="Calibri"/>
        </w:rPr>
      </w:pPr>
      <w:r w:rsidRPr="12FF5434">
        <w:rPr>
          <w:rFonts w:eastAsia="Calibri"/>
        </w:rPr>
        <w:t xml:space="preserve">Knowledge of </w:t>
      </w:r>
      <w:r w:rsidR="5922813E" w:rsidRPr="12FF5434">
        <w:rPr>
          <w:rFonts w:eastAsia="Calibri"/>
        </w:rPr>
        <w:t>Shift the Power</w:t>
      </w:r>
      <w:r w:rsidRPr="12FF5434">
        <w:rPr>
          <w:rFonts w:eastAsia="Calibri"/>
        </w:rPr>
        <w:t xml:space="preserve"> and collaborative programming</w:t>
      </w:r>
      <w:r w:rsidR="00071CB9">
        <w:rPr>
          <w:rFonts w:eastAsia="Calibri"/>
        </w:rPr>
        <w:t xml:space="preserve"> in the Global South</w:t>
      </w:r>
      <w:r w:rsidRPr="12FF5434">
        <w:rPr>
          <w:rFonts w:eastAsia="Calibri"/>
        </w:rPr>
        <w:t xml:space="preserve">; </w:t>
      </w:r>
    </w:p>
    <w:p w14:paraId="3E1FC0CD" w14:textId="1FD8A18B" w:rsidR="00B66607" w:rsidRPr="00B2535E" w:rsidRDefault="00B66607" w:rsidP="7418C6BE">
      <w:pPr>
        <w:pStyle w:val="Lijstalinea"/>
        <w:numPr>
          <w:ilvl w:val="0"/>
          <w:numId w:val="29"/>
        </w:numPr>
        <w:spacing w:after="200" w:line="240" w:lineRule="auto"/>
        <w:jc w:val="both"/>
        <w:rPr>
          <w:rFonts w:eastAsia="Calibri"/>
        </w:rPr>
      </w:pPr>
      <w:r>
        <w:rPr>
          <w:rFonts w:eastAsia="Calibri"/>
        </w:rPr>
        <w:t>P</w:t>
      </w:r>
      <w:r w:rsidRPr="00B66607">
        <w:rPr>
          <w:rFonts w:eastAsia="Calibri"/>
        </w:rPr>
        <w:t>roven experience in layered and complex evaluations</w:t>
      </w:r>
      <w:r>
        <w:rPr>
          <w:rFonts w:eastAsia="Calibri"/>
        </w:rPr>
        <w:t>, especially in the Global South;</w:t>
      </w:r>
    </w:p>
    <w:p w14:paraId="2B0DF280" w14:textId="149CD13B" w:rsidR="001F3EEB" w:rsidRPr="00B2535E" w:rsidRDefault="001F3EEB" w:rsidP="00B2535E">
      <w:pPr>
        <w:pStyle w:val="Lijstalinea"/>
        <w:numPr>
          <w:ilvl w:val="0"/>
          <w:numId w:val="29"/>
        </w:numPr>
        <w:spacing w:after="200" w:line="240" w:lineRule="auto"/>
        <w:jc w:val="both"/>
        <w:rPr>
          <w:rFonts w:eastAsia="Calibri" w:cstheme="minorHAnsi"/>
          <w:szCs w:val="24"/>
        </w:rPr>
      </w:pPr>
      <w:r w:rsidRPr="00B2535E">
        <w:rPr>
          <w:rFonts w:eastAsia="Calibri" w:cstheme="minorHAnsi"/>
          <w:szCs w:val="24"/>
        </w:rPr>
        <w:t>Ability to work independently, take initiative and respond appropriately to constructive feedback; and</w:t>
      </w:r>
    </w:p>
    <w:p w14:paraId="5EB4E356" w14:textId="03F8211C" w:rsidR="001F3EEB" w:rsidRPr="00B2535E" w:rsidRDefault="566C4427" w:rsidP="12FF5434">
      <w:pPr>
        <w:pStyle w:val="Lijstalinea"/>
        <w:numPr>
          <w:ilvl w:val="0"/>
          <w:numId w:val="29"/>
        </w:numPr>
        <w:spacing w:after="200" w:line="240" w:lineRule="auto"/>
        <w:jc w:val="both"/>
        <w:rPr>
          <w:rFonts w:eastAsia="Calibri"/>
        </w:rPr>
      </w:pPr>
      <w:r w:rsidRPr="12FF5434">
        <w:rPr>
          <w:rFonts w:eastAsia="Calibri"/>
        </w:rPr>
        <w:t xml:space="preserve">Experience in sharing and discussing review findings with clients, in-country partners and </w:t>
      </w:r>
      <w:proofErr w:type="spellStart"/>
      <w:r w:rsidR="6C06A501" w:rsidRPr="12FF5434">
        <w:rPr>
          <w:rFonts w:eastAsia="Calibri"/>
        </w:rPr>
        <w:t>program</w:t>
      </w:r>
      <w:r w:rsidR="00071CB9">
        <w:rPr>
          <w:rFonts w:eastAsia="Calibri"/>
        </w:rPr>
        <w:t>me</w:t>
      </w:r>
      <w:proofErr w:type="spellEnd"/>
      <w:r w:rsidR="6C06A501" w:rsidRPr="12FF5434">
        <w:rPr>
          <w:rFonts w:eastAsia="Calibri"/>
        </w:rPr>
        <w:t xml:space="preserve"> participants</w:t>
      </w:r>
      <w:r w:rsidRPr="12FF5434">
        <w:rPr>
          <w:rFonts w:eastAsia="Calibri"/>
        </w:rPr>
        <w:t xml:space="preserve">, and within </w:t>
      </w:r>
      <w:r w:rsidR="00071CB9">
        <w:rPr>
          <w:rFonts w:eastAsia="Calibri"/>
        </w:rPr>
        <w:t>global consortia</w:t>
      </w:r>
      <w:r w:rsidRPr="12FF5434">
        <w:rPr>
          <w:rFonts w:eastAsia="Calibri"/>
        </w:rPr>
        <w:t>.</w:t>
      </w:r>
    </w:p>
    <w:p w14:paraId="71826B29" w14:textId="025BDA2C" w:rsidR="00345E1D" w:rsidRPr="00345E1D" w:rsidRDefault="53D4CAAC" w:rsidP="7536D19F">
      <w:pPr>
        <w:keepNext/>
        <w:keepLines/>
        <w:spacing w:after="200" w:line="240" w:lineRule="auto"/>
        <w:jc w:val="both"/>
        <w:rPr>
          <w:rFonts w:eastAsiaTheme="majorEastAsia"/>
          <w:b/>
          <w:bCs/>
          <w:color w:val="4600AB"/>
          <w:sz w:val="32"/>
          <w:szCs w:val="32"/>
        </w:rPr>
      </w:pPr>
      <w:r w:rsidRPr="7536D19F">
        <w:rPr>
          <w:rFonts w:eastAsia="Calibri"/>
        </w:rPr>
        <w:t xml:space="preserve">Applicants from the Global South are encouraged to apply. </w:t>
      </w:r>
      <w:r w:rsidR="52BD8A40" w:rsidRPr="7536D19F">
        <w:rPr>
          <w:rFonts w:eastAsia="Calibri"/>
        </w:rPr>
        <w:t xml:space="preserve">The consultancy team should not comprise current or former staff (minimum of </w:t>
      </w:r>
      <w:r w:rsidR="77162062" w:rsidRPr="7536D19F">
        <w:rPr>
          <w:rFonts w:eastAsia="Calibri"/>
        </w:rPr>
        <w:t>3</w:t>
      </w:r>
      <w:r w:rsidR="52BD8A40" w:rsidRPr="7536D19F">
        <w:rPr>
          <w:rFonts w:eastAsia="Calibri"/>
        </w:rPr>
        <w:t xml:space="preserve"> years) of any of the members or partners of the consortium </w:t>
      </w:r>
      <w:r w:rsidR="6D1B44AD" w:rsidRPr="7536D19F">
        <w:rPr>
          <w:rFonts w:eastAsia="Calibri"/>
        </w:rPr>
        <w:t xml:space="preserve">(Action Against Hunger, CEGAA, </w:t>
      </w:r>
      <w:r w:rsidR="08FF73F4" w:rsidRPr="7536D19F">
        <w:rPr>
          <w:rFonts w:eastAsia="Calibri"/>
        </w:rPr>
        <w:t xml:space="preserve">Max Foundation, Save the Children, The Hunger Project and World Vision; </w:t>
      </w:r>
      <w:r w:rsidR="52BD8A40" w:rsidRPr="7536D19F">
        <w:rPr>
          <w:rFonts w:eastAsia="Calibri"/>
        </w:rPr>
        <w:t>including volunteers and board members), in order to protect the independence of the</w:t>
      </w:r>
      <w:r w:rsidRPr="7536D19F">
        <w:rPr>
          <w:rFonts w:eastAsia="Calibri"/>
        </w:rPr>
        <w:t xml:space="preserve"> MTR</w:t>
      </w:r>
      <w:r w:rsidR="52BD8A40" w:rsidRPr="7536D19F">
        <w:rPr>
          <w:rFonts w:eastAsia="Calibri"/>
        </w:rPr>
        <w:t>.</w:t>
      </w:r>
      <w:r w:rsidR="154B2622" w:rsidRPr="7536D19F">
        <w:rPr>
          <w:rFonts w:eastAsia="Calibri"/>
        </w:rPr>
        <w:t xml:space="preserve"> </w:t>
      </w:r>
    </w:p>
    <w:p w14:paraId="1B877CCD" w14:textId="777226C3" w:rsidR="00651F57" w:rsidRPr="00A22E73" w:rsidRDefault="000F2311" w:rsidP="2AFC856B">
      <w:pPr>
        <w:pStyle w:val="Kop3"/>
        <w:spacing w:before="0" w:after="200" w:line="240" w:lineRule="auto"/>
        <w:jc w:val="both"/>
        <w:rPr>
          <w:rFonts w:asciiTheme="minorHAnsi" w:hAnsiTheme="minorHAnsi" w:cstheme="minorBidi"/>
          <w:b/>
          <w:bCs/>
          <w:color w:val="4600AB"/>
          <w:kern w:val="10"/>
          <w:sz w:val="32"/>
          <w:szCs w:val="32"/>
        </w:rPr>
      </w:pPr>
      <w:r>
        <w:rPr>
          <w:rFonts w:asciiTheme="minorHAnsi" w:hAnsiTheme="minorHAnsi" w:cstheme="minorBidi"/>
          <w:b/>
          <w:bCs/>
          <w:color w:val="4600AB"/>
          <w:kern w:val="10"/>
          <w:sz w:val="32"/>
          <w:szCs w:val="32"/>
        </w:rPr>
        <w:t>8</w:t>
      </w:r>
      <w:r w:rsidR="4B114363" w:rsidRPr="7536D19F">
        <w:rPr>
          <w:rFonts w:asciiTheme="minorHAnsi" w:hAnsiTheme="minorHAnsi" w:cstheme="minorBidi"/>
          <w:b/>
          <w:bCs/>
          <w:color w:val="4600AB"/>
          <w:kern w:val="10"/>
          <w:sz w:val="32"/>
          <w:szCs w:val="32"/>
        </w:rPr>
        <w:t xml:space="preserve">. </w:t>
      </w:r>
      <w:r w:rsidR="1B620A62" w:rsidRPr="7536D19F">
        <w:rPr>
          <w:rFonts w:asciiTheme="minorHAnsi" w:hAnsiTheme="minorHAnsi" w:cstheme="minorBidi"/>
          <w:b/>
          <w:bCs/>
          <w:color w:val="4600AB"/>
          <w:kern w:val="10"/>
          <w:sz w:val="32"/>
          <w:szCs w:val="32"/>
        </w:rPr>
        <w:t>How to Apply</w:t>
      </w:r>
    </w:p>
    <w:p w14:paraId="79B92431" w14:textId="390D7374" w:rsidR="00344827" w:rsidRPr="00E01275" w:rsidRDefault="00E80C2A" w:rsidP="2AFC856B">
      <w:pPr>
        <w:spacing w:after="200" w:line="240" w:lineRule="auto"/>
        <w:jc w:val="both"/>
        <w:rPr>
          <w:lang w:val="en-GB"/>
        </w:rPr>
      </w:pPr>
      <w:r w:rsidRPr="00E80C2A">
        <w:rPr>
          <w:rFonts w:eastAsia="Calibri"/>
        </w:rPr>
        <w:t>Applications for this role are open until 20th March 2023. Please send your letter of interest to  hrm_nederland@worldvision.nl, including description of approach, CVs for key consultancy team and indication of financial proposal. Interested applicants can submit any questions by 10th March 2023, there will be virtual Q&amp;A session with potential applicants on 13th March 2023. Full technical proposal including referees for recent similar assignments and sample of recent relevant assignments will be requested for shortlisted candidates. Recruitment will be led by the Global MEAL lead from World Vision Netherlands and shortlisted applicants will be invited for a presentation and interview foreseen for the first week of April 2023.</w:t>
      </w:r>
      <w:bookmarkStart w:id="2" w:name="_GoBack"/>
      <w:bookmarkEnd w:id="2"/>
    </w:p>
    <w:p w14:paraId="33468AE2" w14:textId="44BDE454" w:rsidR="2AFC856B" w:rsidRDefault="2AFC856B" w:rsidP="2AFC856B">
      <w:pPr>
        <w:spacing w:after="200" w:line="240" w:lineRule="auto"/>
        <w:jc w:val="both"/>
      </w:pPr>
    </w:p>
    <w:p w14:paraId="330911BD" w14:textId="21FAEC62" w:rsidR="7B74DE8E" w:rsidRDefault="7B74DE8E" w:rsidP="2AFC856B">
      <w:pPr>
        <w:pStyle w:val="Kop3"/>
        <w:spacing w:before="0" w:after="200" w:line="240" w:lineRule="auto"/>
        <w:jc w:val="both"/>
      </w:pPr>
      <w:r w:rsidRPr="2AFC856B">
        <w:rPr>
          <w:rFonts w:asciiTheme="minorHAnsi" w:hAnsiTheme="minorHAnsi" w:cstheme="minorBidi"/>
          <w:b/>
          <w:bCs/>
          <w:color w:val="4600AB"/>
          <w:sz w:val="32"/>
          <w:szCs w:val="32"/>
        </w:rPr>
        <w:lastRenderedPageBreak/>
        <w:t>Annexes</w:t>
      </w:r>
    </w:p>
    <w:bookmarkStart w:id="3" w:name="_MON_1736277719"/>
    <w:bookmarkEnd w:id="3"/>
    <w:p w14:paraId="7D58606D" w14:textId="2B0F0636" w:rsidR="005C5F1E" w:rsidRDefault="00813AD4" w:rsidP="00A22E73">
      <w:pPr>
        <w:spacing w:after="200" w:line="240" w:lineRule="auto"/>
        <w:jc w:val="both"/>
        <w:rPr>
          <w:rFonts w:cstheme="minorHAnsi"/>
        </w:rPr>
      </w:pPr>
      <w:r>
        <w:rPr>
          <w:rFonts w:cstheme="minorHAnsi"/>
          <w:noProof/>
        </w:rPr>
        <w:object w:dxaOrig="1504" w:dyaOrig="982" w14:anchorId="470F3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9pt;height:48.95pt;mso-width-percent:0;mso-height-percent:0;mso-width-percent:0;mso-height-percent:0" o:ole="">
            <v:imagedata r:id="rId15" o:title=""/>
          </v:shape>
          <o:OLEObject Type="Embed" ProgID="Word.Document.12" ShapeID="_x0000_i1025" DrawAspect="Icon" ObjectID="_1739713981" r:id="rId16">
            <o:FieldCodes>\s</o:FieldCodes>
          </o:OLEObject>
        </w:object>
      </w:r>
      <w:r w:rsidR="005C0678">
        <w:rPr>
          <w:rFonts w:cstheme="minorHAnsi"/>
        </w:rPr>
        <w:tab/>
      </w:r>
      <w:r w:rsidR="005C0678">
        <w:rPr>
          <w:rFonts w:cstheme="minorHAnsi"/>
        </w:rPr>
        <w:tab/>
      </w:r>
    </w:p>
    <w:p w14:paraId="7E8F51CB" w14:textId="6126033E" w:rsidR="00C77571" w:rsidRDefault="00E80C2A" w:rsidP="00A22E73">
      <w:pPr>
        <w:spacing w:after="200" w:line="240" w:lineRule="auto"/>
        <w:jc w:val="both"/>
        <w:rPr>
          <w:rFonts w:cstheme="minorHAnsi"/>
        </w:rPr>
      </w:pPr>
      <w:hyperlink r:id="rId17" w:history="1">
        <w:r w:rsidR="00C77571" w:rsidRPr="00C77571">
          <w:rPr>
            <w:rStyle w:val="Hyperlink"/>
            <w:rFonts w:cstheme="minorHAnsi"/>
          </w:rPr>
          <w:t>Global Theory of Change (TOC)</w:t>
        </w:r>
      </w:hyperlink>
    </w:p>
    <w:p w14:paraId="2A850EBE" w14:textId="4FB8C5F6" w:rsidR="00FE1207" w:rsidRDefault="00E80C2A" w:rsidP="00A22E73">
      <w:pPr>
        <w:spacing w:after="200" w:line="240" w:lineRule="auto"/>
        <w:jc w:val="both"/>
        <w:rPr>
          <w:rFonts w:cstheme="minorHAnsi"/>
        </w:rPr>
      </w:pPr>
      <w:hyperlink r:id="rId18" w:history="1">
        <w:r w:rsidR="00FE1207" w:rsidRPr="00FE1207">
          <w:rPr>
            <w:rStyle w:val="Hyperlink"/>
            <w:rFonts w:cstheme="minorHAnsi"/>
          </w:rPr>
          <w:t>Dutch MFA Guidance “extra information on the SCS MTRs”</w:t>
        </w:r>
      </w:hyperlink>
    </w:p>
    <w:p w14:paraId="7F278B11" w14:textId="77777777" w:rsidR="00FE1207" w:rsidRDefault="00FE1207" w:rsidP="00A22E73">
      <w:pPr>
        <w:spacing w:after="200" w:line="240" w:lineRule="auto"/>
        <w:jc w:val="both"/>
        <w:rPr>
          <w:rFonts w:cstheme="minorHAnsi"/>
        </w:rPr>
      </w:pPr>
    </w:p>
    <w:p w14:paraId="6086B7FE" w14:textId="77777777" w:rsidR="005C0678" w:rsidRDefault="005C0678" w:rsidP="00A22E73">
      <w:pPr>
        <w:spacing w:after="200" w:line="240" w:lineRule="auto"/>
        <w:jc w:val="both"/>
        <w:rPr>
          <w:rFonts w:cstheme="minorHAnsi"/>
        </w:rPr>
      </w:pPr>
    </w:p>
    <w:p w14:paraId="647902AE" w14:textId="77777777" w:rsidR="00344827" w:rsidRPr="00A22E73" w:rsidRDefault="00344827" w:rsidP="00A22E73">
      <w:pPr>
        <w:spacing w:after="200" w:line="240" w:lineRule="auto"/>
        <w:jc w:val="both"/>
        <w:rPr>
          <w:rFonts w:cstheme="minorHAnsi"/>
        </w:rPr>
      </w:pPr>
    </w:p>
    <w:p w14:paraId="11DB4542" w14:textId="23FCA588" w:rsidR="00C13F1C" w:rsidRPr="00A22E73" w:rsidRDefault="00C13F1C" w:rsidP="00A22E73">
      <w:pPr>
        <w:spacing w:after="200" w:line="240" w:lineRule="auto"/>
        <w:jc w:val="both"/>
        <w:rPr>
          <w:rFonts w:cstheme="minorHAnsi"/>
        </w:rPr>
      </w:pPr>
    </w:p>
    <w:sectPr w:rsidR="00C13F1C" w:rsidRPr="00A22E73" w:rsidSect="00122D8F">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5B1D" w14:textId="77777777" w:rsidR="00813AD4" w:rsidRDefault="00813AD4" w:rsidP="00E47D00">
      <w:pPr>
        <w:spacing w:after="0" w:line="240" w:lineRule="auto"/>
      </w:pPr>
      <w:r>
        <w:separator/>
      </w:r>
    </w:p>
  </w:endnote>
  <w:endnote w:type="continuationSeparator" w:id="0">
    <w:p w14:paraId="2D6ACD69" w14:textId="77777777" w:rsidR="00813AD4" w:rsidRDefault="00813AD4" w:rsidP="00E47D00">
      <w:pPr>
        <w:spacing w:after="0" w:line="240" w:lineRule="auto"/>
      </w:pPr>
      <w:r>
        <w:continuationSeparator/>
      </w:r>
    </w:p>
  </w:endnote>
  <w:endnote w:type="continuationNotice" w:id="1">
    <w:p w14:paraId="255748B5" w14:textId="77777777" w:rsidR="00813AD4" w:rsidRDefault="00813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ed Hat Text">
    <w:altName w:val="Corbel"/>
    <w:charset w:val="4D"/>
    <w:family w:val="auto"/>
    <w:pitch w:val="variable"/>
    <w:sig w:usb0="00000001" w:usb1="00000001"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2A30" w14:textId="199ADA2B" w:rsidR="00A954A5" w:rsidRDefault="00A954A5">
    <w:pPr>
      <w:pStyle w:val="Voettekst"/>
    </w:pPr>
    <w:r>
      <w:rPr>
        <w:noProof/>
      </w:rPr>
      <mc:AlternateContent>
        <mc:Choice Requires="wps">
          <w:drawing>
            <wp:anchor distT="0" distB="0" distL="114300" distR="114300" simplePos="0" relativeHeight="251658241" behindDoc="0" locked="0" layoutInCell="1" allowOverlap="1" wp14:anchorId="5023D4A9" wp14:editId="7D24B9EC">
              <wp:simplePos x="0" y="0"/>
              <wp:positionH relativeFrom="column">
                <wp:posOffset>4508500</wp:posOffset>
              </wp:positionH>
              <wp:positionV relativeFrom="paragraph">
                <wp:posOffset>-38100</wp:posOffset>
              </wp:positionV>
              <wp:extent cx="2540" cy="404495"/>
              <wp:effectExtent l="0" t="0" r="35560" b="33655"/>
              <wp:wrapNone/>
              <wp:docPr id="16" name="Rechte verbindingslijn 16"/>
              <wp:cNvGraphicFramePr/>
              <a:graphic xmlns:a="http://schemas.openxmlformats.org/drawingml/2006/main">
                <a:graphicData uri="http://schemas.microsoft.com/office/word/2010/wordprocessingShape">
                  <wps:wsp>
                    <wps:cNvCnPr/>
                    <wps:spPr>
                      <a:xfrm>
                        <a:off x="0" y="0"/>
                        <a:ext cx="2540" cy="404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line id="Rechte verbindingslijn 1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355pt,-3pt" to="355.2pt,28.85pt" w14:anchorId="672B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">
              <v:stroke joinstyle="miter"/>
            </v:line>
          </w:pict>
        </mc:Fallback>
      </mc:AlternateContent>
    </w:r>
    <w:r w:rsidRPr="004A2308">
      <w:rPr>
        <w:noProof/>
      </w:rPr>
      <w:drawing>
        <wp:anchor distT="0" distB="0" distL="114300" distR="114300" simplePos="0" relativeHeight="251658240" behindDoc="1" locked="0" layoutInCell="1" allowOverlap="1" wp14:anchorId="612F1B1B" wp14:editId="7A96BFE7">
          <wp:simplePos x="0" y="0"/>
          <wp:positionH relativeFrom="margin">
            <wp:align>right</wp:align>
          </wp:positionH>
          <wp:positionV relativeFrom="paragraph">
            <wp:posOffset>57150</wp:posOffset>
          </wp:positionV>
          <wp:extent cx="843280" cy="272415"/>
          <wp:effectExtent l="0" t="0" r="0" b="0"/>
          <wp:wrapNone/>
          <wp:docPr id="7"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43280" cy="2724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64B07597" wp14:editId="609C171E">
          <wp:simplePos x="0" y="0"/>
          <wp:positionH relativeFrom="column">
            <wp:posOffset>0</wp:posOffset>
          </wp:positionH>
          <wp:positionV relativeFrom="paragraph">
            <wp:posOffset>0</wp:posOffset>
          </wp:positionV>
          <wp:extent cx="4312514" cy="315686"/>
          <wp:effectExtent l="0" t="0" r="0" b="190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2">
                    <a:extLst>
                      <a:ext uri="{28A0092B-C50C-407E-A947-70E740481C1C}">
                        <a14:useLocalDpi xmlns:a14="http://schemas.microsoft.com/office/drawing/2010/main" val="0"/>
                      </a:ext>
                    </a:extLst>
                  </a:blip>
                  <a:stretch>
                    <a:fillRect/>
                  </a:stretch>
                </pic:blipFill>
                <pic:spPr>
                  <a:xfrm>
                    <a:off x="0" y="0"/>
                    <a:ext cx="4312514" cy="3156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75BE" w14:textId="77777777" w:rsidR="00813AD4" w:rsidRDefault="00813AD4" w:rsidP="00E47D00">
      <w:pPr>
        <w:spacing w:after="0" w:line="240" w:lineRule="auto"/>
      </w:pPr>
      <w:r>
        <w:separator/>
      </w:r>
    </w:p>
  </w:footnote>
  <w:footnote w:type="continuationSeparator" w:id="0">
    <w:p w14:paraId="5EA8CEE1" w14:textId="77777777" w:rsidR="00813AD4" w:rsidRDefault="00813AD4" w:rsidP="00E47D00">
      <w:pPr>
        <w:spacing w:after="0" w:line="240" w:lineRule="auto"/>
      </w:pPr>
      <w:r>
        <w:continuationSeparator/>
      </w:r>
    </w:p>
  </w:footnote>
  <w:footnote w:type="continuationNotice" w:id="1">
    <w:p w14:paraId="0E29F147" w14:textId="77777777" w:rsidR="00813AD4" w:rsidRDefault="00813AD4">
      <w:pPr>
        <w:spacing w:after="0" w:line="240" w:lineRule="auto"/>
      </w:pPr>
    </w:p>
  </w:footnote>
  <w:footnote w:id="2">
    <w:p w14:paraId="43D8ADBB" w14:textId="71EA1B49" w:rsidR="00A954A5" w:rsidRDefault="00A954A5">
      <w:pPr>
        <w:pStyle w:val="Voetnoottekst"/>
      </w:pPr>
      <w:r>
        <w:rPr>
          <w:rStyle w:val="Voetnootmarkering"/>
        </w:rPr>
        <w:footnoteRef/>
      </w:r>
      <w:r>
        <w:t xml:space="preserve"> </w:t>
      </w:r>
      <w:r w:rsidRPr="00F0308E">
        <w:t>https://www.government.nl/binaries/government/documenten/policy-notes/2019/11/28/policy-framework-strengthening-civil-society/Grant+instrument+PoV+FINAL.pdf</w:t>
      </w:r>
    </w:p>
  </w:footnote>
  <w:footnote w:id="3">
    <w:p w14:paraId="569F101A" w14:textId="7FB2D097" w:rsidR="00A954A5" w:rsidRDefault="00A954A5">
      <w:pPr>
        <w:pStyle w:val="Voetnoottekst"/>
      </w:pPr>
      <w:r>
        <w:rPr>
          <w:rStyle w:val="Voetnootmarkering"/>
        </w:rPr>
        <w:footnoteRef/>
      </w:r>
      <w:r>
        <w:t xml:space="preserve"> Upward and downward a</w:t>
      </w:r>
      <w:r w:rsidRPr="00535808">
        <w:t>ccountability towards the donor</w:t>
      </w:r>
      <w:r>
        <w:t>,</w:t>
      </w:r>
      <w:r w:rsidRPr="00535808">
        <w:t xml:space="preserve"> towards communities </w:t>
      </w:r>
      <w:r>
        <w:t>and</w:t>
      </w:r>
      <w:r w:rsidRPr="00535808">
        <w:t xml:space="preserve"> between partners</w:t>
      </w:r>
    </w:p>
  </w:footnote>
  <w:footnote w:id="4">
    <w:p w14:paraId="4905CD26" w14:textId="6F5664D4" w:rsidR="7536D19F" w:rsidRDefault="7536D19F" w:rsidP="7536D19F">
      <w:pPr>
        <w:pStyle w:val="Voetnoottekst"/>
      </w:pPr>
      <w:r w:rsidRPr="7536D19F">
        <w:rPr>
          <w:rStyle w:val="Voetnootmarkering"/>
        </w:rPr>
        <w:footnoteRef/>
      </w:r>
      <w:r>
        <w:t xml:space="preserve"> Collective decision making on programme (activities and/or budgets) adjustments based on internal or external contextual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4865B" w14:textId="6589C3D7" w:rsidR="00A954A5" w:rsidRDefault="00A954A5" w:rsidP="002F249E">
    <w:pPr>
      <w:pStyle w:val="Koptekst"/>
      <w:jc w:val="center"/>
    </w:pPr>
  </w:p>
  <w:p w14:paraId="78B31302" w14:textId="77777777" w:rsidR="00A954A5" w:rsidRDefault="00A954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5218"/>
    <w:multiLevelType w:val="hybridMultilevel"/>
    <w:tmpl w:val="2FC26D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5A5B30"/>
    <w:multiLevelType w:val="hybridMultilevel"/>
    <w:tmpl w:val="2856B2C6"/>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C273FD"/>
    <w:multiLevelType w:val="hybridMultilevel"/>
    <w:tmpl w:val="F976C480"/>
    <w:lvl w:ilvl="0" w:tplc="987EA1EA">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0059C5"/>
    <w:multiLevelType w:val="hybridMultilevel"/>
    <w:tmpl w:val="42D8CA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A55BD2"/>
    <w:multiLevelType w:val="hybridMultilevel"/>
    <w:tmpl w:val="A76421EC"/>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A847C1"/>
    <w:multiLevelType w:val="hybridMultilevel"/>
    <w:tmpl w:val="F53ED2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B315CAC"/>
    <w:multiLevelType w:val="hybridMultilevel"/>
    <w:tmpl w:val="015A2CCE"/>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A0936C"/>
    <w:multiLevelType w:val="hybridMultilevel"/>
    <w:tmpl w:val="55CCD7DA"/>
    <w:lvl w:ilvl="0" w:tplc="51A47048">
      <w:start w:val="1"/>
      <w:numFmt w:val="decimal"/>
      <w:lvlText w:val="%1."/>
      <w:lvlJc w:val="left"/>
      <w:pPr>
        <w:ind w:left="720" w:hanging="360"/>
      </w:pPr>
    </w:lvl>
    <w:lvl w:ilvl="1" w:tplc="1D22F626">
      <w:start w:val="1"/>
      <w:numFmt w:val="lowerLetter"/>
      <w:lvlText w:val="%2."/>
      <w:lvlJc w:val="left"/>
      <w:pPr>
        <w:ind w:left="1440" w:hanging="360"/>
      </w:pPr>
    </w:lvl>
    <w:lvl w:ilvl="2" w:tplc="987EA1EA">
      <w:start w:val="1"/>
      <w:numFmt w:val="lowerRoman"/>
      <w:lvlText w:val="%3."/>
      <w:lvlJc w:val="right"/>
      <w:pPr>
        <w:ind w:left="2160" w:hanging="180"/>
      </w:pPr>
    </w:lvl>
    <w:lvl w:ilvl="3" w:tplc="F5A67CCA">
      <w:start w:val="1"/>
      <w:numFmt w:val="decimal"/>
      <w:lvlText w:val="%4."/>
      <w:lvlJc w:val="left"/>
      <w:pPr>
        <w:ind w:left="2880" w:hanging="360"/>
      </w:pPr>
    </w:lvl>
    <w:lvl w:ilvl="4" w:tplc="CE2026F4">
      <w:start w:val="1"/>
      <w:numFmt w:val="lowerLetter"/>
      <w:lvlText w:val="%5."/>
      <w:lvlJc w:val="left"/>
      <w:pPr>
        <w:ind w:left="3600" w:hanging="360"/>
      </w:pPr>
    </w:lvl>
    <w:lvl w:ilvl="5" w:tplc="EB7EFAA6">
      <w:start w:val="1"/>
      <w:numFmt w:val="lowerRoman"/>
      <w:lvlText w:val="%6."/>
      <w:lvlJc w:val="right"/>
      <w:pPr>
        <w:ind w:left="4320" w:hanging="180"/>
      </w:pPr>
    </w:lvl>
    <w:lvl w:ilvl="6" w:tplc="6A8E2208">
      <w:start w:val="1"/>
      <w:numFmt w:val="decimal"/>
      <w:lvlText w:val="%7."/>
      <w:lvlJc w:val="left"/>
      <w:pPr>
        <w:ind w:left="5040" w:hanging="360"/>
      </w:pPr>
    </w:lvl>
    <w:lvl w:ilvl="7" w:tplc="E82CA046">
      <w:start w:val="1"/>
      <w:numFmt w:val="lowerLetter"/>
      <w:lvlText w:val="%8."/>
      <w:lvlJc w:val="left"/>
      <w:pPr>
        <w:ind w:left="5760" w:hanging="360"/>
      </w:pPr>
    </w:lvl>
    <w:lvl w:ilvl="8" w:tplc="259403D6">
      <w:start w:val="1"/>
      <w:numFmt w:val="lowerRoman"/>
      <w:lvlText w:val="%9."/>
      <w:lvlJc w:val="right"/>
      <w:pPr>
        <w:ind w:left="6480" w:hanging="180"/>
      </w:pPr>
    </w:lvl>
  </w:abstractNum>
  <w:abstractNum w:abstractNumId="8" w15:restartNumberingAfterBreak="0">
    <w:nsid w:val="20B4423C"/>
    <w:multiLevelType w:val="hybridMultilevel"/>
    <w:tmpl w:val="7DC8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1B10"/>
    <w:multiLevelType w:val="hybridMultilevel"/>
    <w:tmpl w:val="8E0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46B3D"/>
    <w:multiLevelType w:val="hybridMultilevel"/>
    <w:tmpl w:val="9A26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94D1C"/>
    <w:multiLevelType w:val="multilevel"/>
    <w:tmpl w:val="CECAC4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A31E3"/>
    <w:multiLevelType w:val="hybridMultilevel"/>
    <w:tmpl w:val="3CEC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51D34"/>
    <w:multiLevelType w:val="hybridMultilevel"/>
    <w:tmpl w:val="299CC9C4"/>
    <w:lvl w:ilvl="0" w:tplc="4D169EE6">
      <w:start w:val="2"/>
      <w:numFmt w:val="bullet"/>
      <w:lvlText w:val=""/>
      <w:lvlJc w:val="left"/>
      <w:pPr>
        <w:ind w:left="360" w:hanging="360"/>
      </w:pPr>
      <w:rPr>
        <w:rFonts w:ascii="Symbol" w:eastAsiaTheme="minorHAnsi" w:hAnsi="Symbol" w:cstheme="minorBidi" w:hint="default"/>
      </w:rPr>
    </w:lvl>
    <w:lvl w:ilvl="1" w:tplc="20000003" w:tentative="1">
      <w:start w:val="1"/>
      <w:numFmt w:val="bullet"/>
      <w:lvlText w:val="o"/>
      <w:lvlJc w:val="left"/>
      <w:pPr>
        <w:ind w:left="360" w:hanging="360"/>
      </w:pPr>
      <w:rPr>
        <w:rFonts w:ascii="Courier New" w:hAnsi="Courier New" w:cs="Courier New" w:hint="default"/>
      </w:rPr>
    </w:lvl>
    <w:lvl w:ilvl="2" w:tplc="20000005" w:tentative="1">
      <w:start w:val="1"/>
      <w:numFmt w:val="bullet"/>
      <w:lvlText w:val=""/>
      <w:lvlJc w:val="left"/>
      <w:pPr>
        <w:ind w:left="1080" w:hanging="360"/>
      </w:pPr>
      <w:rPr>
        <w:rFonts w:ascii="Wingdings" w:hAnsi="Wingdings" w:hint="default"/>
      </w:rPr>
    </w:lvl>
    <w:lvl w:ilvl="3" w:tplc="20000001" w:tentative="1">
      <w:start w:val="1"/>
      <w:numFmt w:val="bullet"/>
      <w:lvlText w:val=""/>
      <w:lvlJc w:val="left"/>
      <w:pPr>
        <w:ind w:left="1800" w:hanging="360"/>
      </w:pPr>
      <w:rPr>
        <w:rFonts w:ascii="Symbol" w:hAnsi="Symbol" w:hint="default"/>
      </w:rPr>
    </w:lvl>
    <w:lvl w:ilvl="4" w:tplc="20000003" w:tentative="1">
      <w:start w:val="1"/>
      <w:numFmt w:val="bullet"/>
      <w:lvlText w:val="o"/>
      <w:lvlJc w:val="left"/>
      <w:pPr>
        <w:ind w:left="2520" w:hanging="360"/>
      </w:pPr>
      <w:rPr>
        <w:rFonts w:ascii="Courier New" w:hAnsi="Courier New" w:cs="Courier New" w:hint="default"/>
      </w:rPr>
    </w:lvl>
    <w:lvl w:ilvl="5" w:tplc="20000005" w:tentative="1">
      <w:start w:val="1"/>
      <w:numFmt w:val="bullet"/>
      <w:lvlText w:val=""/>
      <w:lvlJc w:val="left"/>
      <w:pPr>
        <w:ind w:left="3240" w:hanging="360"/>
      </w:pPr>
      <w:rPr>
        <w:rFonts w:ascii="Wingdings" w:hAnsi="Wingdings" w:hint="default"/>
      </w:rPr>
    </w:lvl>
    <w:lvl w:ilvl="6" w:tplc="20000001" w:tentative="1">
      <w:start w:val="1"/>
      <w:numFmt w:val="bullet"/>
      <w:lvlText w:val=""/>
      <w:lvlJc w:val="left"/>
      <w:pPr>
        <w:ind w:left="3960" w:hanging="360"/>
      </w:pPr>
      <w:rPr>
        <w:rFonts w:ascii="Symbol" w:hAnsi="Symbol" w:hint="default"/>
      </w:rPr>
    </w:lvl>
    <w:lvl w:ilvl="7" w:tplc="20000003" w:tentative="1">
      <w:start w:val="1"/>
      <w:numFmt w:val="bullet"/>
      <w:lvlText w:val="o"/>
      <w:lvlJc w:val="left"/>
      <w:pPr>
        <w:ind w:left="4680" w:hanging="360"/>
      </w:pPr>
      <w:rPr>
        <w:rFonts w:ascii="Courier New" w:hAnsi="Courier New" w:cs="Courier New" w:hint="default"/>
      </w:rPr>
    </w:lvl>
    <w:lvl w:ilvl="8" w:tplc="20000005" w:tentative="1">
      <w:start w:val="1"/>
      <w:numFmt w:val="bullet"/>
      <w:lvlText w:val=""/>
      <w:lvlJc w:val="left"/>
      <w:pPr>
        <w:ind w:left="5400" w:hanging="360"/>
      </w:pPr>
      <w:rPr>
        <w:rFonts w:ascii="Wingdings" w:hAnsi="Wingdings" w:hint="default"/>
      </w:rPr>
    </w:lvl>
  </w:abstractNum>
  <w:abstractNum w:abstractNumId="14" w15:restartNumberingAfterBreak="0">
    <w:nsid w:val="3FBE11F2"/>
    <w:multiLevelType w:val="hybridMultilevel"/>
    <w:tmpl w:val="337A35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0512AF9"/>
    <w:multiLevelType w:val="hybridMultilevel"/>
    <w:tmpl w:val="B8E02108"/>
    <w:lvl w:ilvl="0" w:tplc="448AE0E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2F6244E"/>
    <w:multiLevelType w:val="hybridMultilevel"/>
    <w:tmpl w:val="39200648"/>
    <w:lvl w:ilvl="0" w:tplc="FFFFFFFF">
      <w:numFmt w:val="bullet"/>
      <w:lvlText w:val="•"/>
      <w:lvlJc w:val="left"/>
      <w:pPr>
        <w:ind w:left="360" w:hanging="360"/>
      </w:pPr>
      <w:rPr>
        <w:rFonts w:ascii="Calibri" w:hAnsi="Calibri" w:hint="default"/>
      </w:rPr>
    </w:lvl>
    <w:lvl w:ilvl="1" w:tplc="4D169EE6">
      <w:start w:val="2"/>
      <w:numFmt w:val="bullet"/>
      <w:lvlText w:val=""/>
      <w:lvlJc w:val="left"/>
      <w:pPr>
        <w:ind w:left="1440" w:hanging="360"/>
      </w:pPr>
      <w:rPr>
        <w:rFonts w:ascii="Symbol" w:eastAsiaTheme="minorHAnsi" w:hAnsi="Symbol" w:cstheme="minorBidi"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5994A6D"/>
    <w:multiLevelType w:val="hybridMultilevel"/>
    <w:tmpl w:val="012EA8C8"/>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9D10F52"/>
    <w:multiLevelType w:val="hybridMultilevel"/>
    <w:tmpl w:val="BFFCA0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CC738B8"/>
    <w:multiLevelType w:val="hybridMultilevel"/>
    <w:tmpl w:val="731A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2769E"/>
    <w:multiLevelType w:val="hybridMultilevel"/>
    <w:tmpl w:val="CC7E79A8"/>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FA3231"/>
    <w:multiLevelType w:val="hybridMultilevel"/>
    <w:tmpl w:val="E9503B9A"/>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71C0BAC"/>
    <w:multiLevelType w:val="hybridMultilevel"/>
    <w:tmpl w:val="FC947F10"/>
    <w:lvl w:ilvl="0" w:tplc="4D169EE6">
      <w:start w:val="2"/>
      <w:numFmt w:val="bullet"/>
      <w:lvlText w:val=""/>
      <w:lvlJc w:val="left"/>
      <w:pPr>
        <w:ind w:left="144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7BE6E45"/>
    <w:multiLevelType w:val="hybridMultilevel"/>
    <w:tmpl w:val="5098534A"/>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587C66A2"/>
    <w:multiLevelType w:val="hybridMultilevel"/>
    <w:tmpl w:val="2E3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54CFA"/>
    <w:multiLevelType w:val="hybridMultilevel"/>
    <w:tmpl w:val="C346E41A"/>
    <w:lvl w:ilvl="0" w:tplc="38300FD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11B1A12"/>
    <w:multiLevelType w:val="hybridMultilevel"/>
    <w:tmpl w:val="CEF06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50C3A"/>
    <w:multiLevelType w:val="hybridMultilevel"/>
    <w:tmpl w:val="25768B28"/>
    <w:lvl w:ilvl="0" w:tplc="38300FD0">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5763862"/>
    <w:multiLevelType w:val="hybridMultilevel"/>
    <w:tmpl w:val="DD60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23616"/>
    <w:multiLevelType w:val="hybridMultilevel"/>
    <w:tmpl w:val="5E98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608E0"/>
    <w:multiLevelType w:val="hybridMultilevel"/>
    <w:tmpl w:val="A426B50C"/>
    <w:lvl w:ilvl="0" w:tplc="384C0666">
      <w:start w:val="1"/>
      <w:numFmt w:val="decimal"/>
      <w:lvlText w:val="%1."/>
      <w:lvlJc w:val="left"/>
      <w:pPr>
        <w:ind w:left="720" w:hanging="360"/>
      </w:pPr>
    </w:lvl>
    <w:lvl w:ilvl="1" w:tplc="E7A4437C">
      <w:start w:val="1"/>
      <w:numFmt w:val="lowerLetter"/>
      <w:lvlText w:val="%2."/>
      <w:lvlJc w:val="left"/>
      <w:pPr>
        <w:ind w:left="1440" w:hanging="360"/>
      </w:pPr>
    </w:lvl>
    <w:lvl w:ilvl="2" w:tplc="8014F834">
      <w:start w:val="1"/>
      <w:numFmt w:val="lowerRoman"/>
      <w:lvlText w:val="%3."/>
      <w:lvlJc w:val="right"/>
      <w:pPr>
        <w:ind w:left="2160" w:hanging="180"/>
      </w:pPr>
    </w:lvl>
    <w:lvl w:ilvl="3" w:tplc="89946768">
      <w:start w:val="1"/>
      <w:numFmt w:val="decimal"/>
      <w:lvlText w:val="%4."/>
      <w:lvlJc w:val="left"/>
      <w:pPr>
        <w:ind w:left="2880" w:hanging="360"/>
      </w:pPr>
    </w:lvl>
    <w:lvl w:ilvl="4" w:tplc="67CED9AC">
      <w:start w:val="1"/>
      <w:numFmt w:val="lowerLetter"/>
      <w:lvlText w:val="%5."/>
      <w:lvlJc w:val="left"/>
      <w:pPr>
        <w:ind w:left="3600" w:hanging="360"/>
      </w:pPr>
    </w:lvl>
    <w:lvl w:ilvl="5" w:tplc="34481316">
      <w:start w:val="1"/>
      <w:numFmt w:val="lowerRoman"/>
      <w:lvlText w:val="%6."/>
      <w:lvlJc w:val="right"/>
      <w:pPr>
        <w:ind w:left="4320" w:hanging="180"/>
      </w:pPr>
    </w:lvl>
    <w:lvl w:ilvl="6" w:tplc="9DBA8362">
      <w:start w:val="1"/>
      <w:numFmt w:val="decimal"/>
      <w:lvlText w:val="%7."/>
      <w:lvlJc w:val="left"/>
      <w:pPr>
        <w:ind w:left="5040" w:hanging="360"/>
      </w:pPr>
    </w:lvl>
    <w:lvl w:ilvl="7" w:tplc="EB4EBDD0">
      <w:start w:val="1"/>
      <w:numFmt w:val="lowerLetter"/>
      <w:lvlText w:val="%8."/>
      <w:lvlJc w:val="left"/>
      <w:pPr>
        <w:ind w:left="5760" w:hanging="360"/>
      </w:pPr>
    </w:lvl>
    <w:lvl w:ilvl="8" w:tplc="4CF6FB18">
      <w:start w:val="1"/>
      <w:numFmt w:val="lowerRoman"/>
      <w:lvlText w:val="%9."/>
      <w:lvlJc w:val="right"/>
      <w:pPr>
        <w:ind w:left="6480" w:hanging="180"/>
      </w:pPr>
    </w:lvl>
  </w:abstractNum>
  <w:abstractNum w:abstractNumId="31" w15:restartNumberingAfterBreak="0">
    <w:nsid w:val="6A7F669A"/>
    <w:multiLevelType w:val="hybridMultilevel"/>
    <w:tmpl w:val="D4F09E8E"/>
    <w:lvl w:ilvl="0" w:tplc="F1ACFE5A">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B96018C"/>
    <w:multiLevelType w:val="multilevel"/>
    <w:tmpl w:val="040C85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384321"/>
    <w:multiLevelType w:val="hybridMultilevel"/>
    <w:tmpl w:val="F61C18A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7"/>
  </w:num>
  <w:num w:numId="2">
    <w:abstractNumId w:val="30"/>
  </w:num>
  <w:num w:numId="3">
    <w:abstractNumId w:val="29"/>
  </w:num>
  <w:num w:numId="4">
    <w:abstractNumId w:val="9"/>
  </w:num>
  <w:num w:numId="5">
    <w:abstractNumId w:val="8"/>
  </w:num>
  <w:num w:numId="6">
    <w:abstractNumId w:val="28"/>
  </w:num>
  <w:num w:numId="7">
    <w:abstractNumId w:val="10"/>
  </w:num>
  <w:num w:numId="8">
    <w:abstractNumId w:val="24"/>
  </w:num>
  <w:num w:numId="9">
    <w:abstractNumId w:val="32"/>
  </w:num>
  <w:num w:numId="10">
    <w:abstractNumId w:val="11"/>
  </w:num>
  <w:num w:numId="11">
    <w:abstractNumId w:val="12"/>
  </w:num>
  <w:num w:numId="12">
    <w:abstractNumId w:val="19"/>
  </w:num>
  <w:num w:numId="13">
    <w:abstractNumId w:val="26"/>
  </w:num>
  <w:num w:numId="14">
    <w:abstractNumId w:val="15"/>
  </w:num>
  <w:num w:numId="15">
    <w:abstractNumId w:val="18"/>
  </w:num>
  <w:num w:numId="16">
    <w:abstractNumId w:val="23"/>
  </w:num>
  <w:num w:numId="17">
    <w:abstractNumId w:val="21"/>
  </w:num>
  <w:num w:numId="18">
    <w:abstractNumId w:val="6"/>
  </w:num>
  <w:num w:numId="19">
    <w:abstractNumId w:val="16"/>
  </w:num>
  <w:num w:numId="20">
    <w:abstractNumId w:val="1"/>
  </w:num>
  <w:num w:numId="21">
    <w:abstractNumId w:val="14"/>
  </w:num>
  <w:num w:numId="22">
    <w:abstractNumId w:val="33"/>
  </w:num>
  <w:num w:numId="23">
    <w:abstractNumId w:val="31"/>
  </w:num>
  <w:num w:numId="24">
    <w:abstractNumId w:val="27"/>
  </w:num>
  <w:num w:numId="25">
    <w:abstractNumId w:val="25"/>
  </w:num>
  <w:num w:numId="26">
    <w:abstractNumId w:val="13"/>
  </w:num>
  <w:num w:numId="27">
    <w:abstractNumId w:val="22"/>
  </w:num>
  <w:num w:numId="28">
    <w:abstractNumId w:val="17"/>
  </w:num>
  <w:num w:numId="29">
    <w:abstractNumId w:val="4"/>
  </w:num>
  <w:num w:numId="30">
    <w:abstractNumId w:val="20"/>
  </w:num>
  <w:num w:numId="31">
    <w:abstractNumId w:val="2"/>
  </w:num>
  <w:num w:numId="32">
    <w:abstractNumId w:val="5"/>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69"/>
    <w:rsid w:val="000149A9"/>
    <w:rsid w:val="00016552"/>
    <w:rsid w:val="00023DD8"/>
    <w:rsid w:val="00032665"/>
    <w:rsid w:val="00034407"/>
    <w:rsid w:val="00052D80"/>
    <w:rsid w:val="0006495F"/>
    <w:rsid w:val="00065F34"/>
    <w:rsid w:val="00071CB9"/>
    <w:rsid w:val="00072E20"/>
    <w:rsid w:val="00077CC8"/>
    <w:rsid w:val="00080109"/>
    <w:rsid w:val="0008021B"/>
    <w:rsid w:val="00082F80"/>
    <w:rsid w:val="000901C3"/>
    <w:rsid w:val="00096B49"/>
    <w:rsid w:val="000A4C80"/>
    <w:rsid w:val="000B1F12"/>
    <w:rsid w:val="000B277C"/>
    <w:rsid w:val="000C4CEE"/>
    <w:rsid w:val="000C5869"/>
    <w:rsid w:val="000D6706"/>
    <w:rsid w:val="000E4F22"/>
    <w:rsid w:val="000E5B81"/>
    <w:rsid w:val="000E7097"/>
    <w:rsid w:val="000F22EC"/>
    <w:rsid w:val="000F2311"/>
    <w:rsid w:val="000F4221"/>
    <w:rsid w:val="00101D88"/>
    <w:rsid w:val="001046AA"/>
    <w:rsid w:val="001132FE"/>
    <w:rsid w:val="0011410F"/>
    <w:rsid w:val="00115930"/>
    <w:rsid w:val="00121098"/>
    <w:rsid w:val="00121B6E"/>
    <w:rsid w:val="00122D8F"/>
    <w:rsid w:val="00123C00"/>
    <w:rsid w:val="00127C5B"/>
    <w:rsid w:val="00135F14"/>
    <w:rsid w:val="00146785"/>
    <w:rsid w:val="001544FC"/>
    <w:rsid w:val="0015736E"/>
    <w:rsid w:val="001654FF"/>
    <w:rsid w:val="001674A8"/>
    <w:rsid w:val="00174CF4"/>
    <w:rsid w:val="00184618"/>
    <w:rsid w:val="0018589C"/>
    <w:rsid w:val="00196112"/>
    <w:rsid w:val="001A34B4"/>
    <w:rsid w:val="001A5179"/>
    <w:rsid w:val="001B1991"/>
    <w:rsid w:val="001C7565"/>
    <w:rsid w:val="001D0F81"/>
    <w:rsid w:val="001D5E5B"/>
    <w:rsid w:val="001E1CAF"/>
    <w:rsid w:val="001E3CCF"/>
    <w:rsid w:val="001E78EC"/>
    <w:rsid w:val="001F3EEB"/>
    <w:rsid w:val="001F6912"/>
    <w:rsid w:val="00231A60"/>
    <w:rsid w:val="00240206"/>
    <w:rsid w:val="00242D22"/>
    <w:rsid w:val="00245CEC"/>
    <w:rsid w:val="0024657A"/>
    <w:rsid w:val="00246E75"/>
    <w:rsid w:val="00251FBA"/>
    <w:rsid w:val="00254C27"/>
    <w:rsid w:val="00255BD6"/>
    <w:rsid w:val="002560DA"/>
    <w:rsid w:val="00256D58"/>
    <w:rsid w:val="00260EA4"/>
    <w:rsid w:val="00262F38"/>
    <w:rsid w:val="002663C5"/>
    <w:rsid w:val="00266C92"/>
    <w:rsid w:val="00275115"/>
    <w:rsid w:val="002778EB"/>
    <w:rsid w:val="00281E94"/>
    <w:rsid w:val="00283FEE"/>
    <w:rsid w:val="00290EF0"/>
    <w:rsid w:val="002942A2"/>
    <w:rsid w:val="002A678B"/>
    <w:rsid w:val="002A6FCC"/>
    <w:rsid w:val="002A7F52"/>
    <w:rsid w:val="002BD77F"/>
    <w:rsid w:val="002C0EE5"/>
    <w:rsid w:val="002C5E7B"/>
    <w:rsid w:val="002C7629"/>
    <w:rsid w:val="002D28E5"/>
    <w:rsid w:val="002F0465"/>
    <w:rsid w:val="002F249E"/>
    <w:rsid w:val="003005E2"/>
    <w:rsid w:val="00301FF9"/>
    <w:rsid w:val="003020E5"/>
    <w:rsid w:val="00305254"/>
    <w:rsid w:val="00306731"/>
    <w:rsid w:val="00306E78"/>
    <w:rsid w:val="00312E3B"/>
    <w:rsid w:val="00316FDE"/>
    <w:rsid w:val="00317027"/>
    <w:rsid w:val="00323D7B"/>
    <w:rsid w:val="00332F76"/>
    <w:rsid w:val="003355A2"/>
    <w:rsid w:val="003405FC"/>
    <w:rsid w:val="00344827"/>
    <w:rsid w:val="00345490"/>
    <w:rsid w:val="00345E1D"/>
    <w:rsid w:val="00351DD4"/>
    <w:rsid w:val="00353B09"/>
    <w:rsid w:val="0035403F"/>
    <w:rsid w:val="00355518"/>
    <w:rsid w:val="00357218"/>
    <w:rsid w:val="00371CC2"/>
    <w:rsid w:val="00373688"/>
    <w:rsid w:val="003738E6"/>
    <w:rsid w:val="00375B91"/>
    <w:rsid w:val="003804AA"/>
    <w:rsid w:val="003866A3"/>
    <w:rsid w:val="0039322C"/>
    <w:rsid w:val="003A0375"/>
    <w:rsid w:val="003A0886"/>
    <w:rsid w:val="003A0CD5"/>
    <w:rsid w:val="003A4CBD"/>
    <w:rsid w:val="003B13FE"/>
    <w:rsid w:val="003B3331"/>
    <w:rsid w:val="003B7C71"/>
    <w:rsid w:val="003D3023"/>
    <w:rsid w:val="003D59FF"/>
    <w:rsid w:val="003E54DC"/>
    <w:rsid w:val="003F0F8B"/>
    <w:rsid w:val="00404297"/>
    <w:rsid w:val="00404410"/>
    <w:rsid w:val="004071F2"/>
    <w:rsid w:val="00410DDD"/>
    <w:rsid w:val="004125EF"/>
    <w:rsid w:val="00414971"/>
    <w:rsid w:val="00420A45"/>
    <w:rsid w:val="00427834"/>
    <w:rsid w:val="0043754A"/>
    <w:rsid w:val="0044519D"/>
    <w:rsid w:val="0045295A"/>
    <w:rsid w:val="00454714"/>
    <w:rsid w:val="00455374"/>
    <w:rsid w:val="00463F54"/>
    <w:rsid w:val="004667B0"/>
    <w:rsid w:val="0046762A"/>
    <w:rsid w:val="00472B05"/>
    <w:rsid w:val="00475CF1"/>
    <w:rsid w:val="004831A4"/>
    <w:rsid w:val="00491D3A"/>
    <w:rsid w:val="00493BE4"/>
    <w:rsid w:val="00493C4D"/>
    <w:rsid w:val="004A229B"/>
    <w:rsid w:val="004A6F8D"/>
    <w:rsid w:val="004C0126"/>
    <w:rsid w:val="004C1AAF"/>
    <w:rsid w:val="004C272E"/>
    <w:rsid w:val="004C421E"/>
    <w:rsid w:val="004C5A17"/>
    <w:rsid w:val="004C7994"/>
    <w:rsid w:val="004D678F"/>
    <w:rsid w:val="004E688A"/>
    <w:rsid w:val="004F78ED"/>
    <w:rsid w:val="00500364"/>
    <w:rsid w:val="005035F2"/>
    <w:rsid w:val="00504852"/>
    <w:rsid w:val="00504A82"/>
    <w:rsid w:val="00504D7F"/>
    <w:rsid w:val="00506130"/>
    <w:rsid w:val="00513372"/>
    <w:rsid w:val="00514127"/>
    <w:rsid w:val="005206B1"/>
    <w:rsid w:val="00521861"/>
    <w:rsid w:val="00524114"/>
    <w:rsid w:val="00526952"/>
    <w:rsid w:val="00535808"/>
    <w:rsid w:val="005440A9"/>
    <w:rsid w:val="00546413"/>
    <w:rsid w:val="005621B9"/>
    <w:rsid w:val="005635F3"/>
    <w:rsid w:val="00563FFA"/>
    <w:rsid w:val="00571CE9"/>
    <w:rsid w:val="00574C4C"/>
    <w:rsid w:val="00583348"/>
    <w:rsid w:val="0058379B"/>
    <w:rsid w:val="005876F1"/>
    <w:rsid w:val="005935EC"/>
    <w:rsid w:val="005951BA"/>
    <w:rsid w:val="00597B7A"/>
    <w:rsid w:val="005A21D0"/>
    <w:rsid w:val="005A6E67"/>
    <w:rsid w:val="005B3616"/>
    <w:rsid w:val="005B4C64"/>
    <w:rsid w:val="005C0088"/>
    <w:rsid w:val="005C0678"/>
    <w:rsid w:val="005C37CC"/>
    <w:rsid w:val="005C5F1E"/>
    <w:rsid w:val="005D5466"/>
    <w:rsid w:val="005E2E9F"/>
    <w:rsid w:val="005E6AF8"/>
    <w:rsid w:val="005F14D2"/>
    <w:rsid w:val="005F1F8B"/>
    <w:rsid w:val="005F4CB1"/>
    <w:rsid w:val="005F6D7D"/>
    <w:rsid w:val="005F7846"/>
    <w:rsid w:val="006141A8"/>
    <w:rsid w:val="00614F11"/>
    <w:rsid w:val="00621E54"/>
    <w:rsid w:val="00624504"/>
    <w:rsid w:val="00636B25"/>
    <w:rsid w:val="00640A92"/>
    <w:rsid w:val="006439FD"/>
    <w:rsid w:val="00645540"/>
    <w:rsid w:val="00651F57"/>
    <w:rsid w:val="00652327"/>
    <w:rsid w:val="00652524"/>
    <w:rsid w:val="0066205A"/>
    <w:rsid w:val="0066465B"/>
    <w:rsid w:val="00676BE3"/>
    <w:rsid w:val="00676C50"/>
    <w:rsid w:val="006775C2"/>
    <w:rsid w:val="006815CC"/>
    <w:rsid w:val="00681D3A"/>
    <w:rsid w:val="0068228C"/>
    <w:rsid w:val="00687247"/>
    <w:rsid w:val="00697CF5"/>
    <w:rsid w:val="006A25F9"/>
    <w:rsid w:val="006A483F"/>
    <w:rsid w:val="006B3CC4"/>
    <w:rsid w:val="006B64F1"/>
    <w:rsid w:val="006B785B"/>
    <w:rsid w:val="006C05E7"/>
    <w:rsid w:val="006C1F2C"/>
    <w:rsid w:val="006C2B58"/>
    <w:rsid w:val="006C66B6"/>
    <w:rsid w:val="006D00BF"/>
    <w:rsid w:val="006D69D2"/>
    <w:rsid w:val="006E0F4D"/>
    <w:rsid w:val="006E11A8"/>
    <w:rsid w:val="006F030E"/>
    <w:rsid w:val="00707940"/>
    <w:rsid w:val="00707DE8"/>
    <w:rsid w:val="00715F65"/>
    <w:rsid w:val="00716290"/>
    <w:rsid w:val="00720E5C"/>
    <w:rsid w:val="00721016"/>
    <w:rsid w:val="007216C4"/>
    <w:rsid w:val="00723F79"/>
    <w:rsid w:val="00731E3E"/>
    <w:rsid w:val="00740639"/>
    <w:rsid w:val="00744985"/>
    <w:rsid w:val="00745B68"/>
    <w:rsid w:val="00750594"/>
    <w:rsid w:val="007534B1"/>
    <w:rsid w:val="00762268"/>
    <w:rsid w:val="00765457"/>
    <w:rsid w:val="0076780C"/>
    <w:rsid w:val="00770C82"/>
    <w:rsid w:val="007823F9"/>
    <w:rsid w:val="00783980"/>
    <w:rsid w:val="00784292"/>
    <w:rsid w:val="007926D6"/>
    <w:rsid w:val="007927C5"/>
    <w:rsid w:val="007961C0"/>
    <w:rsid w:val="007965EC"/>
    <w:rsid w:val="007A0C63"/>
    <w:rsid w:val="007A65E5"/>
    <w:rsid w:val="007A6876"/>
    <w:rsid w:val="007A7273"/>
    <w:rsid w:val="007B10C0"/>
    <w:rsid w:val="007B56A6"/>
    <w:rsid w:val="007B6ED7"/>
    <w:rsid w:val="007C1A6A"/>
    <w:rsid w:val="007C7C49"/>
    <w:rsid w:val="007D54E6"/>
    <w:rsid w:val="007E1259"/>
    <w:rsid w:val="007E7F8F"/>
    <w:rsid w:val="0080519C"/>
    <w:rsid w:val="00810022"/>
    <w:rsid w:val="00813AD4"/>
    <w:rsid w:val="00815A45"/>
    <w:rsid w:val="008204CA"/>
    <w:rsid w:val="00822947"/>
    <w:rsid w:val="00830BB7"/>
    <w:rsid w:val="008316FC"/>
    <w:rsid w:val="00841887"/>
    <w:rsid w:val="0084239A"/>
    <w:rsid w:val="0084283A"/>
    <w:rsid w:val="0084344A"/>
    <w:rsid w:val="00853666"/>
    <w:rsid w:val="00855FFC"/>
    <w:rsid w:val="00860F8B"/>
    <w:rsid w:val="00863152"/>
    <w:rsid w:val="0086466D"/>
    <w:rsid w:val="008654DE"/>
    <w:rsid w:val="00865864"/>
    <w:rsid w:val="00870EC2"/>
    <w:rsid w:val="008727ED"/>
    <w:rsid w:val="00887C46"/>
    <w:rsid w:val="0088B55C"/>
    <w:rsid w:val="0089657C"/>
    <w:rsid w:val="008A4493"/>
    <w:rsid w:val="008A6594"/>
    <w:rsid w:val="008A66BA"/>
    <w:rsid w:val="008B1215"/>
    <w:rsid w:val="008B3A97"/>
    <w:rsid w:val="008B4915"/>
    <w:rsid w:val="008B5269"/>
    <w:rsid w:val="008D02F8"/>
    <w:rsid w:val="008D18F6"/>
    <w:rsid w:val="008D6184"/>
    <w:rsid w:val="008E3ED9"/>
    <w:rsid w:val="008E4DDF"/>
    <w:rsid w:val="008E6436"/>
    <w:rsid w:val="008E7439"/>
    <w:rsid w:val="008E76D0"/>
    <w:rsid w:val="008F442D"/>
    <w:rsid w:val="008F5D04"/>
    <w:rsid w:val="008F6DD9"/>
    <w:rsid w:val="008FBE18"/>
    <w:rsid w:val="00900579"/>
    <w:rsid w:val="009024C0"/>
    <w:rsid w:val="00906EF2"/>
    <w:rsid w:val="00912BB3"/>
    <w:rsid w:val="00912D31"/>
    <w:rsid w:val="00913608"/>
    <w:rsid w:val="009157F0"/>
    <w:rsid w:val="00922210"/>
    <w:rsid w:val="00924FF0"/>
    <w:rsid w:val="00932570"/>
    <w:rsid w:val="00940FC1"/>
    <w:rsid w:val="00946B21"/>
    <w:rsid w:val="009506A8"/>
    <w:rsid w:val="00951F33"/>
    <w:rsid w:val="00953A83"/>
    <w:rsid w:val="00962241"/>
    <w:rsid w:val="00967781"/>
    <w:rsid w:val="0097403D"/>
    <w:rsid w:val="00983368"/>
    <w:rsid w:val="00985A71"/>
    <w:rsid w:val="00994612"/>
    <w:rsid w:val="00996F7B"/>
    <w:rsid w:val="009A0BC7"/>
    <w:rsid w:val="009A56BD"/>
    <w:rsid w:val="009A5D11"/>
    <w:rsid w:val="009B3927"/>
    <w:rsid w:val="009B6544"/>
    <w:rsid w:val="009C53CE"/>
    <w:rsid w:val="009D7272"/>
    <w:rsid w:val="009E1B6B"/>
    <w:rsid w:val="009E34AC"/>
    <w:rsid w:val="009E3B21"/>
    <w:rsid w:val="009E5D29"/>
    <w:rsid w:val="009E6BCA"/>
    <w:rsid w:val="009F2F16"/>
    <w:rsid w:val="009F72AD"/>
    <w:rsid w:val="00A00535"/>
    <w:rsid w:val="00A033F1"/>
    <w:rsid w:val="00A06B03"/>
    <w:rsid w:val="00A11A5B"/>
    <w:rsid w:val="00A12746"/>
    <w:rsid w:val="00A22E73"/>
    <w:rsid w:val="00A249ED"/>
    <w:rsid w:val="00A3161C"/>
    <w:rsid w:val="00A319E3"/>
    <w:rsid w:val="00A36DEB"/>
    <w:rsid w:val="00A37A4D"/>
    <w:rsid w:val="00A4207D"/>
    <w:rsid w:val="00A42CA6"/>
    <w:rsid w:val="00A4604C"/>
    <w:rsid w:val="00A50BF3"/>
    <w:rsid w:val="00A5662E"/>
    <w:rsid w:val="00A60416"/>
    <w:rsid w:val="00A61992"/>
    <w:rsid w:val="00A64F49"/>
    <w:rsid w:val="00A66B5A"/>
    <w:rsid w:val="00A73452"/>
    <w:rsid w:val="00A73813"/>
    <w:rsid w:val="00A77CE7"/>
    <w:rsid w:val="00A8607C"/>
    <w:rsid w:val="00A87EA8"/>
    <w:rsid w:val="00A8C669"/>
    <w:rsid w:val="00A92922"/>
    <w:rsid w:val="00A954A5"/>
    <w:rsid w:val="00A96389"/>
    <w:rsid w:val="00AA6C89"/>
    <w:rsid w:val="00AB0B73"/>
    <w:rsid w:val="00AB0D88"/>
    <w:rsid w:val="00AB586F"/>
    <w:rsid w:val="00AC15BB"/>
    <w:rsid w:val="00AC7FEC"/>
    <w:rsid w:val="00ACA8E7"/>
    <w:rsid w:val="00AD19A6"/>
    <w:rsid w:val="00AD4BC3"/>
    <w:rsid w:val="00AD72DA"/>
    <w:rsid w:val="00AE1681"/>
    <w:rsid w:val="00AE3EBB"/>
    <w:rsid w:val="00AE3F59"/>
    <w:rsid w:val="00AE6983"/>
    <w:rsid w:val="00B0113C"/>
    <w:rsid w:val="00B02013"/>
    <w:rsid w:val="00B058EE"/>
    <w:rsid w:val="00B07139"/>
    <w:rsid w:val="00B07642"/>
    <w:rsid w:val="00B11DC3"/>
    <w:rsid w:val="00B125B0"/>
    <w:rsid w:val="00B16067"/>
    <w:rsid w:val="00B1676E"/>
    <w:rsid w:val="00B17271"/>
    <w:rsid w:val="00B21A9D"/>
    <w:rsid w:val="00B22B36"/>
    <w:rsid w:val="00B2535E"/>
    <w:rsid w:val="00B26B30"/>
    <w:rsid w:val="00B345FC"/>
    <w:rsid w:val="00B3710B"/>
    <w:rsid w:val="00B37EA3"/>
    <w:rsid w:val="00B411BE"/>
    <w:rsid w:val="00B42024"/>
    <w:rsid w:val="00B54FAA"/>
    <w:rsid w:val="00B5504D"/>
    <w:rsid w:val="00B55608"/>
    <w:rsid w:val="00B64C3E"/>
    <w:rsid w:val="00B66607"/>
    <w:rsid w:val="00B74E86"/>
    <w:rsid w:val="00B8355A"/>
    <w:rsid w:val="00B858AC"/>
    <w:rsid w:val="00B86F3A"/>
    <w:rsid w:val="00B87996"/>
    <w:rsid w:val="00B91110"/>
    <w:rsid w:val="00B913B6"/>
    <w:rsid w:val="00BA3572"/>
    <w:rsid w:val="00BB436A"/>
    <w:rsid w:val="00BB5141"/>
    <w:rsid w:val="00BB6491"/>
    <w:rsid w:val="00BB66A2"/>
    <w:rsid w:val="00BB79D7"/>
    <w:rsid w:val="00BC7A1C"/>
    <w:rsid w:val="00BD2C89"/>
    <w:rsid w:val="00BE1C86"/>
    <w:rsid w:val="00BE3B67"/>
    <w:rsid w:val="00BE7DEC"/>
    <w:rsid w:val="00BF0EC9"/>
    <w:rsid w:val="00BF0FCE"/>
    <w:rsid w:val="00BF43CB"/>
    <w:rsid w:val="00C07BEA"/>
    <w:rsid w:val="00C13F1C"/>
    <w:rsid w:val="00C16D91"/>
    <w:rsid w:val="00C21C07"/>
    <w:rsid w:val="00C3493B"/>
    <w:rsid w:val="00C361A7"/>
    <w:rsid w:val="00C41DD3"/>
    <w:rsid w:val="00C50459"/>
    <w:rsid w:val="00C53A1E"/>
    <w:rsid w:val="00C54DD5"/>
    <w:rsid w:val="00C56D9E"/>
    <w:rsid w:val="00C61998"/>
    <w:rsid w:val="00C65FD3"/>
    <w:rsid w:val="00C669C8"/>
    <w:rsid w:val="00C74BDD"/>
    <w:rsid w:val="00C77571"/>
    <w:rsid w:val="00C80D73"/>
    <w:rsid w:val="00C80EB1"/>
    <w:rsid w:val="00C83A80"/>
    <w:rsid w:val="00C94A96"/>
    <w:rsid w:val="00C972F7"/>
    <w:rsid w:val="00CA100B"/>
    <w:rsid w:val="00CA4114"/>
    <w:rsid w:val="00CA4DF1"/>
    <w:rsid w:val="00CA6748"/>
    <w:rsid w:val="00CB0016"/>
    <w:rsid w:val="00CB25B8"/>
    <w:rsid w:val="00CC30F6"/>
    <w:rsid w:val="00CC6C05"/>
    <w:rsid w:val="00CC738A"/>
    <w:rsid w:val="00CE3529"/>
    <w:rsid w:val="00CF089A"/>
    <w:rsid w:val="00CF1F05"/>
    <w:rsid w:val="00D03B68"/>
    <w:rsid w:val="00D10875"/>
    <w:rsid w:val="00D15727"/>
    <w:rsid w:val="00D176E9"/>
    <w:rsid w:val="00D326F3"/>
    <w:rsid w:val="00D33014"/>
    <w:rsid w:val="00D35841"/>
    <w:rsid w:val="00D41A08"/>
    <w:rsid w:val="00D421F9"/>
    <w:rsid w:val="00D521F9"/>
    <w:rsid w:val="00D543D3"/>
    <w:rsid w:val="00D554AC"/>
    <w:rsid w:val="00D620DB"/>
    <w:rsid w:val="00D657DF"/>
    <w:rsid w:val="00D7006C"/>
    <w:rsid w:val="00D7668E"/>
    <w:rsid w:val="00D77723"/>
    <w:rsid w:val="00D77A9B"/>
    <w:rsid w:val="00D86741"/>
    <w:rsid w:val="00D90B40"/>
    <w:rsid w:val="00D9371E"/>
    <w:rsid w:val="00DA5932"/>
    <w:rsid w:val="00DB7C53"/>
    <w:rsid w:val="00DC5202"/>
    <w:rsid w:val="00DE1A0E"/>
    <w:rsid w:val="00DE28BB"/>
    <w:rsid w:val="00DF413A"/>
    <w:rsid w:val="00DF5FC4"/>
    <w:rsid w:val="00E01275"/>
    <w:rsid w:val="00E02D79"/>
    <w:rsid w:val="00E101E2"/>
    <w:rsid w:val="00E1250E"/>
    <w:rsid w:val="00E17114"/>
    <w:rsid w:val="00E25BD8"/>
    <w:rsid w:val="00E432A2"/>
    <w:rsid w:val="00E43EBC"/>
    <w:rsid w:val="00E47D00"/>
    <w:rsid w:val="00E525B6"/>
    <w:rsid w:val="00E5312B"/>
    <w:rsid w:val="00E5443C"/>
    <w:rsid w:val="00E55D7D"/>
    <w:rsid w:val="00E60984"/>
    <w:rsid w:val="00E62308"/>
    <w:rsid w:val="00E62834"/>
    <w:rsid w:val="00E64808"/>
    <w:rsid w:val="00E648EE"/>
    <w:rsid w:val="00E6678E"/>
    <w:rsid w:val="00E71B58"/>
    <w:rsid w:val="00E7244D"/>
    <w:rsid w:val="00E73471"/>
    <w:rsid w:val="00E76B06"/>
    <w:rsid w:val="00E76BD2"/>
    <w:rsid w:val="00E80C2A"/>
    <w:rsid w:val="00E8247A"/>
    <w:rsid w:val="00E8698C"/>
    <w:rsid w:val="00E947F5"/>
    <w:rsid w:val="00EA2CA0"/>
    <w:rsid w:val="00EA35AA"/>
    <w:rsid w:val="00EA7508"/>
    <w:rsid w:val="00EC1F60"/>
    <w:rsid w:val="00EC4CEA"/>
    <w:rsid w:val="00EC59A8"/>
    <w:rsid w:val="00EC6F28"/>
    <w:rsid w:val="00ED08E8"/>
    <w:rsid w:val="00EE2EC8"/>
    <w:rsid w:val="00EE3206"/>
    <w:rsid w:val="00EE5915"/>
    <w:rsid w:val="00EF0845"/>
    <w:rsid w:val="00EF3AF1"/>
    <w:rsid w:val="00EF79B5"/>
    <w:rsid w:val="00F0308E"/>
    <w:rsid w:val="00F13ECF"/>
    <w:rsid w:val="00F15157"/>
    <w:rsid w:val="00F16D66"/>
    <w:rsid w:val="00F22F05"/>
    <w:rsid w:val="00F30B32"/>
    <w:rsid w:val="00F3267D"/>
    <w:rsid w:val="00F37035"/>
    <w:rsid w:val="00F37E44"/>
    <w:rsid w:val="00F40711"/>
    <w:rsid w:val="00F42B71"/>
    <w:rsid w:val="00F4664A"/>
    <w:rsid w:val="00F473A4"/>
    <w:rsid w:val="00F5065D"/>
    <w:rsid w:val="00F5345E"/>
    <w:rsid w:val="00F54619"/>
    <w:rsid w:val="00F57D7E"/>
    <w:rsid w:val="00F76462"/>
    <w:rsid w:val="00F83FA9"/>
    <w:rsid w:val="00F85B74"/>
    <w:rsid w:val="00F865F0"/>
    <w:rsid w:val="00F91666"/>
    <w:rsid w:val="00F96D81"/>
    <w:rsid w:val="00FB0A83"/>
    <w:rsid w:val="00FB2391"/>
    <w:rsid w:val="00FB4778"/>
    <w:rsid w:val="00FB5018"/>
    <w:rsid w:val="00FB5745"/>
    <w:rsid w:val="00FB70ED"/>
    <w:rsid w:val="00FC3C59"/>
    <w:rsid w:val="00FD1143"/>
    <w:rsid w:val="00FD3482"/>
    <w:rsid w:val="00FD5B50"/>
    <w:rsid w:val="00FD6FE8"/>
    <w:rsid w:val="00FE0202"/>
    <w:rsid w:val="00FE1207"/>
    <w:rsid w:val="00FE1E9B"/>
    <w:rsid w:val="00FE20C0"/>
    <w:rsid w:val="00FE449B"/>
    <w:rsid w:val="00FE5487"/>
    <w:rsid w:val="00FF03BF"/>
    <w:rsid w:val="00FF50D8"/>
    <w:rsid w:val="01D28CEF"/>
    <w:rsid w:val="01D56CB1"/>
    <w:rsid w:val="01EF1847"/>
    <w:rsid w:val="0208CA2A"/>
    <w:rsid w:val="0234B878"/>
    <w:rsid w:val="027CD78A"/>
    <w:rsid w:val="02B355EB"/>
    <w:rsid w:val="03445FBC"/>
    <w:rsid w:val="03771660"/>
    <w:rsid w:val="038583AA"/>
    <w:rsid w:val="03C49233"/>
    <w:rsid w:val="03CF6808"/>
    <w:rsid w:val="049096E3"/>
    <w:rsid w:val="04977666"/>
    <w:rsid w:val="0568C160"/>
    <w:rsid w:val="0575BDF9"/>
    <w:rsid w:val="05801A0A"/>
    <w:rsid w:val="063346C7"/>
    <w:rsid w:val="0656E023"/>
    <w:rsid w:val="067736FD"/>
    <w:rsid w:val="0692B867"/>
    <w:rsid w:val="06BB2B54"/>
    <w:rsid w:val="06C5B8A5"/>
    <w:rsid w:val="06F5DD99"/>
    <w:rsid w:val="06F96D63"/>
    <w:rsid w:val="06FC0154"/>
    <w:rsid w:val="07079790"/>
    <w:rsid w:val="07AD6466"/>
    <w:rsid w:val="07DEA3F6"/>
    <w:rsid w:val="081C96A6"/>
    <w:rsid w:val="082ABD10"/>
    <w:rsid w:val="082DAFB1"/>
    <w:rsid w:val="08D04EEF"/>
    <w:rsid w:val="08FF73F4"/>
    <w:rsid w:val="098EF451"/>
    <w:rsid w:val="09945CB0"/>
    <w:rsid w:val="09D56C86"/>
    <w:rsid w:val="09F6536C"/>
    <w:rsid w:val="0A27CD85"/>
    <w:rsid w:val="0AC64241"/>
    <w:rsid w:val="0AEB4AA8"/>
    <w:rsid w:val="0B4A2B2A"/>
    <w:rsid w:val="0B66298A"/>
    <w:rsid w:val="0B7CF8EC"/>
    <w:rsid w:val="0B8FC578"/>
    <w:rsid w:val="0BAA2269"/>
    <w:rsid w:val="0BEF5B8E"/>
    <w:rsid w:val="0CAC5A94"/>
    <w:rsid w:val="0CC48656"/>
    <w:rsid w:val="0D4F03E7"/>
    <w:rsid w:val="0D547EA1"/>
    <w:rsid w:val="0D88AEFF"/>
    <w:rsid w:val="0DC70809"/>
    <w:rsid w:val="0DE5735C"/>
    <w:rsid w:val="0E162D74"/>
    <w:rsid w:val="0E8C267C"/>
    <w:rsid w:val="0F06CB2F"/>
    <w:rsid w:val="0F359350"/>
    <w:rsid w:val="0F81E7FE"/>
    <w:rsid w:val="0F855C99"/>
    <w:rsid w:val="0F88304A"/>
    <w:rsid w:val="101ABF43"/>
    <w:rsid w:val="102D57D8"/>
    <w:rsid w:val="1057F40C"/>
    <w:rsid w:val="10B81D16"/>
    <w:rsid w:val="10C39524"/>
    <w:rsid w:val="11241132"/>
    <w:rsid w:val="11A458AE"/>
    <w:rsid w:val="11C7A8C2"/>
    <w:rsid w:val="11E08893"/>
    <w:rsid w:val="1219A180"/>
    <w:rsid w:val="12333DBF"/>
    <w:rsid w:val="12510598"/>
    <w:rsid w:val="1259B285"/>
    <w:rsid w:val="128EF52D"/>
    <w:rsid w:val="1299FD2E"/>
    <w:rsid w:val="12A38318"/>
    <w:rsid w:val="12C24D5E"/>
    <w:rsid w:val="12F35BEA"/>
    <w:rsid w:val="12FF5434"/>
    <w:rsid w:val="1318F66B"/>
    <w:rsid w:val="13A1DCB6"/>
    <w:rsid w:val="13B94EEC"/>
    <w:rsid w:val="14809FCB"/>
    <w:rsid w:val="14E1F151"/>
    <w:rsid w:val="14F2BCE0"/>
    <w:rsid w:val="154B2622"/>
    <w:rsid w:val="1646338D"/>
    <w:rsid w:val="16473920"/>
    <w:rsid w:val="16C3FFFB"/>
    <w:rsid w:val="16F33654"/>
    <w:rsid w:val="170B54CC"/>
    <w:rsid w:val="17288025"/>
    <w:rsid w:val="1758C53A"/>
    <w:rsid w:val="175A87BF"/>
    <w:rsid w:val="17984D22"/>
    <w:rsid w:val="17A8F27D"/>
    <w:rsid w:val="17BABC3A"/>
    <w:rsid w:val="17BCE94A"/>
    <w:rsid w:val="17D2A013"/>
    <w:rsid w:val="17E2AFF3"/>
    <w:rsid w:val="17EB8CA1"/>
    <w:rsid w:val="187BCF16"/>
    <w:rsid w:val="18C048E9"/>
    <w:rsid w:val="18D7B371"/>
    <w:rsid w:val="191827AC"/>
    <w:rsid w:val="1A0F41AC"/>
    <w:rsid w:val="1A0F49AE"/>
    <w:rsid w:val="1A1B094E"/>
    <w:rsid w:val="1AAA4FC8"/>
    <w:rsid w:val="1AE10BD0"/>
    <w:rsid w:val="1AFAA3B5"/>
    <w:rsid w:val="1B433A67"/>
    <w:rsid w:val="1B620A62"/>
    <w:rsid w:val="1B6F6621"/>
    <w:rsid w:val="1BB91A47"/>
    <w:rsid w:val="1BC8D5C2"/>
    <w:rsid w:val="1BD144F3"/>
    <w:rsid w:val="1BEBDFCD"/>
    <w:rsid w:val="1C4CFF3A"/>
    <w:rsid w:val="1C6EBCA0"/>
    <w:rsid w:val="1CAC87A2"/>
    <w:rsid w:val="1CC12E15"/>
    <w:rsid w:val="1D2BC55B"/>
    <w:rsid w:val="1D6262B1"/>
    <w:rsid w:val="1D6D1554"/>
    <w:rsid w:val="1D75E23B"/>
    <w:rsid w:val="1D78996C"/>
    <w:rsid w:val="1D8680DD"/>
    <w:rsid w:val="1DCAB130"/>
    <w:rsid w:val="1DE46B5E"/>
    <w:rsid w:val="1DEDA5F2"/>
    <w:rsid w:val="1DEF6AAE"/>
    <w:rsid w:val="1DF2B84B"/>
    <w:rsid w:val="1E517CE5"/>
    <w:rsid w:val="1EABC41D"/>
    <w:rsid w:val="1EB0B112"/>
    <w:rsid w:val="1ED5AF07"/>
    <w:rsid w:val="1F2AEF00"/>
    <w:rsid w:val="1FDA6DB0"/>
    <w:rsid w:val="1FF5AF2E"/>
    <w:rsid w:val="20176EA9"/>
    <w:rsid w:val="2017BAB0"/>
    <w:rsid w:val="207183DE"/>
    <w:rsid w:val="227CAE62"/>
    <w:rsid w:val="22940418"/>
    <w:rsid w:val="23276548"/>
    <w:rsid w:val="236DBB01"/>
    <w:rsid w:val="238D2B7B"/>
    <w:rsid w:val="23925BBF"/>
    <w:rsid w:val="23C3AC8A"/>
    <w:rsid w:val="23FDD5D3"/>
    <w:rsid w:val="24C492D8"/>
    <w:rsid w:val="24E723D3"/>
    <w:rsid w:val="253CC537"/>
    <w:rsid w:val="25864781"/>
    <w:rsid w:val="2587D0FE"/>
    <w:rsid w:val="25D11C1A"/>
    <w:rsid w:val="25D62C6E"/>
    <w:rsid w:val="263632D6"/>
    <w:rsid w:val="263F81F7"/>
    <w:rsid w:val="2641C30F"/>
    <w:rsid w:val="2646C390"/>
    <w:rsid w:val="2662AA64"/>
    <w:rsid w:val="26AE4AA1"/>
    <w:rsid w:val="26E83508"/>
    <w:rsid w:val="26EAE4B8"/>
    <w:rsid w:val="2702A910"/>
    <w:rsid w:val="274821CE"/>
    <w:rsid w:val="274BEB98"/>
    <w:rsid w:val="27557C0F"/>
    <w:rsid w:val="2768B8BB"/>
    <w:rsid w:val="2797F804"/>
    <w:rsid w:val="285ACCC8"/>
    <w:rsid w:val="289A5E46"/>
    <w:rsid w:val="292C90B7"/>
    <w:rsid w:val="2A143CF7"/>
    <w:rsid w:val="2A394702"/>
    <w:rsid w:val="2A3E4390"/>
    <w:rsid w:val="2A53A24E"/>
    <w:rsid w:val="2A75776D"/>
    <w:rsid w:val="2AC86118"/>
    <w:rsid w:val="2AF3A4D2"/>
    <w:rsid w:val="2AFC856B"/>
    <w:rsid w:val="2B2CD573"/>
    <w:rsid w:val="2B8E3FB8"/>
    <w:rsid w:val="2B9E553C"/>
    <w:rsid w:val="2BA231D7"/>
    <w:rsid w:val="2BC92B5F"/>
    <w:rsid w:val="2C465FDF"/>
    <w:rsid w:val="2C643179"/>
    <w:rsid w:val="2D9035FD"/>
    <w:rsid w:val="2DADE852"/>
    <w:rsid w:val="2E103032"/>
    <w:rsid w:val="2E7C9973"/>
    <w:rsid w:val="2E959D74"/>
    <w:rsid w:val="2EE4F173"/>
    <w:rsid w:val="2F2A0AFD"/>
    <w:rsid w:val="2F501F41"/>
    <w:rsid w:val="3015B770"/>
    <w:rsid w:val="30431A5F"/>
    <w:rsid w:val="30DF495B"/>
    <w:rsid w:val="31D19C61"/>
    <w:rsid w:val="31EC1355"/>
    <w:rsid w:val="31F25A58"/>
    <w:rsid w:val="32388B48"/>
    <w:rsid w:val="323A48C8"/>
    <w:rsid w:val="33BB0C97"/>
    <w:rsid w:val="33E86C90"/>
    <w:rsid w:val="34210380"/>
    <w:rsid w:val="346F435E"/>
    <w:rsid w:val="34827F92"/>
    <w:rsid w:val="34A7D69F"/>
    <w:rsid w:val="35F0CB9C"/>
    <w:rsid w:val="360B13BF"/>
    <w:rsid w:val="36415F8D"/>
    <w:rsid w:val="367D4C14"/>
    <w:rsid w:val="368E9E89"/>
    <w:rsid w:val="3696E8D4"/>
    <w:rsid w:val="369C096A"/>
    <w:rsid w:val="36A50D84"/>
    <w:rsid w:val="371731CE"/>
    <w:rsid w:val="375C39DB"/>
    <w:rsid w:val="3783CCB5"/>
    <w:rsid w:val="37A6E420"/>
    <w:rsid w:val="37BA2015"/>
    <w:rsid w:val="3804B5FA"/>
    <w:rsid w:val="383DCEC2"/>
    <w:rsid w:val="383E210A"/>
    <w:rsid w:val="3840DDE5"/>
    <w:rsid w:val="386A76B1"/>
    <w:rsid w:val="387AF1F5"/>
    <w:rsid w:val="3885A987"/>
    <w:rsid w:val="38BDD9D3"/>
    <w:rsid w:val="390F945E"/>
    <w:rsid w:val="39649DC1"/>
    <w:rsid w:val="39887385"/>
    <w:rsid w:val="398E36AC"/>
    <w:rsid w:val="39B85E48"/>
    <w:rsid w:val="39E44E5A"/>
    <w:rsid w:val="3A260625"/>
    <w:rsid w:val="3A2B1D2D"/>
    <w:rsid w:val="3A66A577"/>
    <w:rsid w:val="3A6F22B2"/>
    <w:rsid w:val="3A8C7B85"/>
    <w:rsid w:val="3A8DB43F"/>
    <w:rsid w:val="3AA414B8"/>
    <w:rsid w:val="3ACA4D5D"/>
    <w:rsid w:val="3B0CB581"/>
    <w:rsid w:val="3B0E6D03"/>
    <w:rsid w:val="3B106A5C"/>
    <w:rsid w:val="3B170F3D"/>
    <w:rsid w:val="3B75D6DA"/>
    <w:rsid w:val="3B764295"/>
    <w:rsid w:val="3B94F9B7"/>
    <w:rsid w:val="3BA825A1"/>
    <w:rsid w:val="3BAA07CD"/>
    <w:rsid w:val="3C016BE8"/>
    <w:rsid w:val="3C92D497"/>
    <w:rsid w:val="3C97840C"/>
    <w:rsid w:val="3D43F602"/>
    <w:rsid w:val="3D93BBE7"/>
    <w:rsid w:val="3DF8F04F"/>
    <w:rsid w:val="3E320AEA"/>
    <w:rsid w:val="3E75BF69"/>
    <w:rsid w:val="3F129D37"/>
    <w:rsid w:val="3F243312"/>
    <w:rsid w:val="3F4F8FC5"/>
    <w:rsid w:val="3F5C337E"/>
    <w:rsid w:val="3FF2D279"/>
    <w:rsid w:val="3FF6210F"/>
    <w:rsid w:val="3FFF2133"/>
    <w:rsid w:val="40C09F11"/>
    <w:rsid w:val="40D963B5"/>
    <w:rsid w:val="4100FBB3"/>
    <w:rsid w:val="41350BE8"/>
    <w:rsid w:val="416DD722"/>
    <w:rsid w:val="417598C2"/>
    <w:rsid w:val="41A7B150"/>
    <w:rsid w:val="41DD1090"/>
    <w:rsid w:val="420DB5EB"/>
    <w:rsid w:val="42237609"/>
    <w:rsid w:val="422DFB3A"/>
    <w:rsid w:val="42665749"/>
    <w:rsid w:val="42AA900E"/>
    <w:rsid w:val="42B3C1AE"/>
    <w:rsid w:val="42E1362B"/>
    <w:rsid w:val="431DDEAE"/>
    <w:rsid w:val="4377AB30"/>
    <w:rsid w:val="4378F43E"/>
    <w:rsid w:val="43BC5B27"/>
    <w:rsid w:val="441B53E1"/>
    <w:rsid w:val="44217E08"/>
    <w:rsid w:val="446B146A"/>
    <w:rsid w:val="44E798EA"/>
    <w:rsid w:val="44F46739"/>
    <w:rsid w:val="450F058E"/>
    <w:rsid w:val="457F6238"/>
    <w:rsid w:val="45C18935"/>
    <w:rsid w:val="45F262C2"/>
    <w:rsid w:val="4660CC05"/>
    <w:rsid w:val="46829333"/>
    <w:rsid w:val="46C22B3E"/>
    <w:rsid w:val="46F0AAD8"/>
    <w:rsid w:val="4762F766"/>
    <w:rsid w:val="47716A95"/>
    <w:rsid w:val="47AEF076"/>
    <w:rsid w:val="48346C50"/>
    <w:rsid w:val="4890F339"/>
    <w:rsid w:val="489AB723"/>
    <w:rsid w:val="48C2E483"/>
    <w:rsid w:val="496B2772"/>
    <w:rsid w:val="49C1ABA3"/>
    <w:rsid w:val="49E231EF"/>
    <w:rsid w:val="49FE817A"/>
    <w:rsid w:val="4A3372E1"/>
    <w:rsid w:val="4B009C2B"/>
    <w:rsid w:val="4B114363"/>
    <w:rsid w:val="4B36787A"/>
    <w:rsid w:val="4B49BE37"/>
    <w:rsid w:val="4B5BE6B1"/>
    <w:rsid w:val="4B86547D"/>
    <w:rsid w:val="4BCD9F75"/>
    <w:rsid w:val="4BD3DA5D"/>
    <w:rsid w:val="4C0B350B"/>
    <w:rsid w:val="4C15FE65"/>
    <w:rsid w:val="4C42E255"/>
    <w:rsid w:val="4C6CC4AE"/>
    <w:rsid w:val="4CE0C095"/>
    <w:rsid w:val="4CF3828D"/>
    <w:rsid w:val="4CF84CF6"/>
    <w:rsid w:val="4CFB6F89"/>
    <w:rsid w:val="4D00FC82"/>
    <w:rsid w:val="4D059F1E"/>
    <w:rsid w:val="4D4CAA91"/>
    <w:rsid w:val="4D772653"/>
    <w:rsid w:val="4DA7056C"/>
    <w:rsid w:val="4DF71D1F"/>
    <w:rsid w:val="4E490B4F"/>
    <w:rsid w:val="4F1C4DBB"/>
    <w:rsid w:val="4F5E85B7"/>
    <w:rsid w:val="4F78BEDA"/>
    <w:rsid w:val="4F9EB4A6"/>
    <w:rsid w:val="4FD99F67"/>
    <w:rsid w:val="503E3B9C"/>
    <w:rsid w:val="504A6103"/>
    <w:rsid w:val="506E39DA"/>
    <w:rsid w:val="5078A409"/>
    <w:rsid w:val="50B85DAE"/>
    <w:rsid w:val="50E8A6D8"/>
    <w:rsid w:val="510A7802"/>
    <w:rsid w:val="51643786"/>
    <w:rsid w:val="516CBDB3"/>
    <w:rsid w:val="5193481D"/>
    <w:rsid w:val="519DBD30"/>
    <w:rsid w:val="51D8FBC6"/>
    <w:rsid w:val="524A7344"/>
    <w:rsid w:val="52BD8A40"/>
    <w:rsid w:val="52BF8496"/>
    <w:rsid w:val="52C6DF0D"/>
    <w:rsid w:val="52D00FEE"/>
    <w:rsid w:val="5363029B"/>
    <w:rsid w:val="5386F8EC"/>
    <w:rsid w:val="53D4CAAC"/>
    <w:rsid w:val="53ED6E20"/>
    <w:rsid w:val="5410B11B"/>
    <w:rsid w:val="54AB6841"/>
    <w:rsid w:val="54BB74FF"/>
    <w:rsid w:val="550B98F6"/>
    <w:rsid w:val="554739D7"/>
    <w:rsid w:val="5550237C"/>
    <w:rsid w:val="55511EEA"/>
    <w:rsid w:val="5563542D"/>
    <w:rsid w:val="5569C07D"/>
    <w:rsid w:val="5583AD4C"/>
    <w:rsid w:val="5593B933"/>
    <w:rsid w:val="55C1A7B3"/>
    <w:rsid w:val="55D1DBC1"/>
    <w:rsid w:val="561E923B"/>
    <w:rsid w:val="5624BDAD"/>
    <w:rsid w:val="566C4427"/>
    <w:rsid w:val="56D3E02B"/>
    <w:rsid w:val="57058C95"/>
    <w:rsid w:val="570C9385"/>
    <w:rsid w:val="571819CB"/>
    <w:rsid w:val="572F8994"/>
    <w:rsid w:val="574E07C2"/>
    <w:rsid w:val="583B7070"/>
    <w:rsid w:val="58416B16"/>
    <w:rsid w:val="58BB4E0E"/>
    <w:rsid w:val="5922813E"/>
    <w:rsid w:val="59C29AE6"/>
    <w:rsid w:val="59E99671"/>
    <w:rsid w:val="59F3E776"/>
    <w:rsid w:val="5A1477FD"/>
    <w:rsid w:val="5A294C0C"/>
    <w:rsid w:val="5A2FA3BB"/>
    <w:rsid w:val="5A34D972"/>
    <w:rsid w:val="5A4BF4C6"/>
    <w:rsid w:val="5A7BF079"/>
    <w:rsid w:val="5AC25CE7"/>
    <w:rsid w:val="5AD13FFC"/>
    <w:rsid w:val="5B50C64B"/>
    <w:rsid w:val="5B88D14E"/>
    <w:rsid w:val="5BB9A2D7"/>
    <w:rsid w:val="5BD44E8A"/>
    <w:rsid w:val="5C5DC775"/>
    <w:rsid w:val="5C64719A"/>
    <w:rsid w:val="5CAEF94F"/>
    <w:rsid w:val="5CB8225B"/>
    <w:rsid w:val="5CE0BB33"/>
    <w:rsid w:val="5D59BBA3"/>
    <w:rsid w:val="5D60993A"/>
    <w:rsid w:val="5D7A08ED"/>
    <w:rsid w:val="5DC9444D"/>
    <w:rsid w:val="5DECDF54"/>
    <w:rsid w:val="5EA49C29"/>
    <w:rsid w:val="5EDC2C66"/>
    <w:rsid w:val="5EDE4295"/>
    <w:rsid w:val="5F02E43F"/>
    <w:rsid w:val="5F64BA3E"/>
    <w:rsid w:val="5F685BEA"/>
    <w:rsid w:val="5FC1F156"/>
    <w:rsid w:val="5FEE76B3"/>
    <w:rsid w:val="60142DA9"/>
    <w:rsid w:val="60898B03"/>
    <w:rsid w:val="6095755C"/>
    <w:rsid w:val="60A67D92"/>
    <w:rsid w:val="60AFBFDB"/>
    <w:rsid w:val="610418D7"/>
    <w:rsid w:val="61468CA0"/>
    <w:rsid w:val="61494F9E"/>
    <w:rsid w:val="617E5E7A"/>
    <w:rsid w:val="61E288B0"/>
    <w:rsid w:val="621B6489"/>
    <w:rsid w:val="6282795B"/>
    <w:rsid w:val="63729648"/>
    <w:rsid w:val="6431B27D"/>
    <w:rsid w:val="64905759"/>
    <w:rsid w:val="64CB1387"/>
    <w:rsid w:val="64EC9484"/>
    <w:rsid w:val="64ED179B"/>
    <w:rsid w:val="65081D4B"/>
    <w:rsid w:val="65762E7D"/>
    <w:rsid w:val="6581EEB1"/>
    <w:rsid w:val="659EF3C0"/>
    <w:rsid w:val="65F306BB"/>
    <w:rsid w:val="66150840"/>
    <w:rsid w:val="667C4D9F"/>
    <w:rsid w:val="66AA370A"/>
    <w:rsid w:val="66DCD5AC"/>
    <w:rsid w:val="676DFE2A"/>
    <w:rsid w:val="6774A258"/>
    <w:rsid w:val="67BB4042"/>
    <w:rsid w:val="67EFD46F"/>
    <w:rsid w:val="67F97190"/>
    <w:rsid w:val="6829C101"/>
    <w:rsid w:val="685F548B"/>
    <w:rsid w:val="68FA01D8"/>
    <w:rsid w:val="68FC7105"/>
    <w:rsid w:val="69A25A9D"/>
    <w:rsid w:val="69C73B38"/>
    <w:rsid w:val="6A8CAACC"/>
    <w:rsid w:val="6AAC5178"/>
    <w:rsid w:val="6B395109"/>
    <w:rsid w:val="6C06A501"/>
    <w:rsid w:val="6C2068A0"/>
    <w:rsid w:val="6C46C29F"/>
    <w:rsid w:val="6C8C8800"/>
    <w:rsid w:val="6CA337FF"/>
    <w:rsid w:val="6D1B44AD"/>
    <w:rsid w:val="6D53728F"/>
    <w:rsid w:val="6DFF9CB3"/>
    <w:rsid w:val="6E40E296"/>
    <w:rsid w:val="6E5729DF"/>
    <w:rsid w:val="6E77E763"/>
    <w:rsid w:val="6E96361C"/>
    <w:rsid w:val="6EAE93A7"/>
    <w:rsid w:val="6F1A32B8"/>
    <w:rsid w:val="6F32B882"/>
    <w:rsid w:val="6F479375"/>
    <w:rsid w:val="6F4AD2B7"/>
    <w:rsid w:val="6F530FDE"/>
    <w:rsid w:val="6F5759FB"/>
    <w:rsid w:val="6FDF0E36"/>
    <w:rsid w:val="704E85BC"/>
    <w:rsid w:val="708039E2"/>
    <w:rsid w:val="70973F89"/>
    <w:rsid w:val="711250E2"/>
    <w:rsid w:val="712EB60D"/>
    <w:rsid w:val="71894ED0"/>
    <w:rsid w:val="71D68881"/>
    <w:rsid w:val="72725305"/>
    <w:rsid w:val="727315E0"/>
    <w:rsid w:val="72C22772"/>
    <w:rsid w:val="732CD828"/>
    <w:rsid w:val="73C4F149"/>
    <w:rsid w:val="7418C6BE"/>
    <w:rsid w:val="744E3E7A"/>
    <w:rsid w:val="74AF1E1E"/>
    <w:rsid w:val="74B271EC"/>
    <w:rsid w:val="74C68B72"/>
    <w:rsid w:val="74DD2DD1"/>
    <w:rsid w:val="7536D19F"/>
    <w:rsid w:val="7538E418"/>
    <w:rsid w:val="75500611"/>
    <w:rsid w:val="763BE74C"/>
    <w:rsid w:val="768E9D7D"/>
    <w:rsid w:val="76EE8D66"/>
    <w:rsid w:val="77162062"/>
    <w:rsid w:val="774A9409"/>
    <w:rsid w:val="778B5706"/>
    <w:rsid w:val="77D5129F"/>
    <w:rsid w:val="782C38B2"/>
    <w:rsid w:val="78419BC6"/>
    <w:rsid w:val="7848AFE9"/>
    <w:rsid w:val="78AE8049"/>
    <w:rsid w:val="78E79692"/>
    <w:rsid w:val="795A0E06"/>
    <w:rsid w:val="799475AE"/>
    <w:rsid w:val="7A404DD3"/>
    <w:rsid w:val="7AC882EB"/>
    <w:rsid w:val="7B0F0EB6"/>
    <w:rsid w:val="7B3E1E38"/>
    <w:rsid w:val="7B4A5F89"/>
    <w:rsid w:val="7B5C40AC"/>
    <w:rsid w:val="7B74DE8E"/>
    <w:rsid w:val="7BC57C60"/>
    <w:rsid w:val="7BF345D6"/>
    <w:rsid w:val="7C2FF34B"/>
    <w:rsid w:val="7C3AE07E"/>
    <w:rsid w:val="7C416988"/>
    <w:rsid w:val="7C4A2B25"/>
    <w:rsid w:val="7C620E80"/>
    <w:rsid w:val="7CAAF8D9"/>
    <w:rsid w:val="7D036880"/>
    <w:rsid w:val="7D09FAC9"/>
    <w:rsid w:val="7D0EB977"/>
    <w:rsid w:val="7D0FBEB3"/>
    <w:rsid w:val="7D5C86B6"/>
    <w:rsid w:val="7D750824"/>
    <w:rsid w:val="7DB432D5"/>
    <w:rsid w:val="7DF4A0CC"/>
    <w:rsid w:val="7E00C9E5"/>
    <w:rsid w:val="7E3B40B5"/>
    <w:rsid w:val="7ED67C69"/>
    <w:rsid w:val="7F8A7D84"/>
    <w:rsid w:val="7FA90114"/>
    <w:rsid w:val="7FB8BD49"/>
    <w:rsid w:val="7FC3B9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7FBDC2"/>
  <w15:chartTrackingRefBased/>
  <w15:docId w15:val="{D24E3B1E-0696-422F-83BC-148D713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5E1D"/>
  </w:style>
  <w:style w:type="paragraph" w:styleId="Kop3">
    <w:name w:val="heading 3"/>
    <w:basedOn w:val="Standaard"/>
    <w:next w:val="Standaard"/>
    <w:link w:val="Kop3Char"/>
    <w:uiPriority w:val="9"/>
    <w:unhideWhenUsed/>
    <w:qFormat/>
    <w:rsid w:val="002C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7D0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47D00"/>
  </w:style>
  <w:style w:type="paragraph" w:styleId="Voettekst">
    <w:name w:val="footer"/>
    <w:basedOn w:val="Standaard"/>
    <w:link w:val="VoettekstChar"/>
    <w:uiPriority w:val="99"/>
    <w:unhideWhenUsed/>
    <w:rsid w:val="00E47D0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47D00"/>
  </w:style>
  <w:style w:type="paragraph" w:styleId="Lijstalinea">
    <w:name w:val="List Paragraph"/>
    <w:basedOn w:val="Standaard"/>
    <w:uiPriority w:val="34"/>
    <w:qFormat/>
    <w:rsid w:val="00BB66A2"/>
    <w:pPr>
      <w:ind w:left="720"/>
      <w:contextualSpacing/>
    </w:pPr>
  </w:style>
  <w:style w:type="character" w:styleId="Nadruk">
    <w:name w:val="Emphasis"/>
    <w:basedOn w:val="Standaardalinea-lettertype"/>
    <w:uiPriority w:val="20"/>
    <w:qFormat/>
    <w:rsid w:val="005206B1"/>
    <w:rPr>
      <w:i/>
      <w:iCs/>
    </w:rPr>
  </w:style>
  <w:style w:type="character" w:customStyle="1" w:styleId="Kop3Char">
    <w:name w:val="Kop 3 Char"/>
    <w:basedOn w:val="Standaardalinea-lettertype"/>
    <w:link w:val="Kop3"/>
    <w:uiPriority w:val="9"/>
    <w:rsid w:val="002C7629"/>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7216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6C4"/>
    <w:rPr>
      <w:rFonts w:ascii="Segoe UI" w:hAnsi="Segoe UI" w:cs="Segoe UI"/>
      <w:sz w:val="18"/>
      <w:szCs w:val="18"/>
    </w:rPr>
  </w:style>
  <w:style w:type="character" w:customStyle="1" w:styleId="eop">
    <w:name w:val="eop"/>
    <w:basedOn w:val="Standaardalinea-lettertype"/>
    <w:rsid w:val="00716290"/>
  </w:style>
  <w:style w:type="character" w:styleId="Verwijzingopmerking">
    <w:name w:val="annotation reference"/>
    <w:basedOn w:val="Standaardalinea-lettertype"/>
    <w:uiPriority w:val="99"/>
    <w:semiHidden/>
    <w:unhideWhenUsed/>
    <w:rsid w:val="00521861"/>
    <w:rPr>
      <w:sz w:val="16"/>
      <w:szCs w:val="16"/>
    </w:rPr>
  </w:style>
  <w:style w:type="paragraph" w:styleId="Tekstopmerking">
    <w:name w:val="annotation text"/>
    <w:basedOn w:val="Standaard"/>
    <w:link w:val="TekstopmerkingChar"/>
    <w:uiPriority w:val="99"/>
    <w:unhideWhenUsed/>
    <w:rsid w:val="00521861"/>
    <w:pPr>
      <w:spacing w:line="240" w:lineRule="auto"/>
    </w:pPr>
    <w:rPr>
      <w:sz w:val="20"/>
      <w:szCs w:val="20"/>
    </w:rPr>
  </w:style>
  <w:style w:type="character" w:customStyle="1" w:styleId="TekstopmerkingChar">
    <w:name w:val="Tekst opmerking Char"/>
    <w:basedOn w:val="Standaardalinea-lettertype"/>
    <w:link w:val="Tekstopmerking"/>
    <w:uiPriority w:val="99"/>
    <w:rsid w:val="00521861"/>
    <w:rPr>
      <w:sz w:val="20"/>
      <w:szCs w:val="20"/>
    </w:rPr>
  </w:style>
  <w:style w:type="paragraph" w:styleId="Onderwerpvanopmerking">
    <w:name w:val="annotation subject"/>
    <w:basedOn w:val="Tekstopmerking"/>
    <w:next w:val="Tekstopmerking"/>
    <w:link w:val="OnderwerpvanopmerkingChar"/>
    <w:uiPriority w:val="99"/>
    <w:semiHidden/>
    <w:unhideWhenUsed/>
    <w:rsid w:val="00521861"/>
    <w:rPr>
      <w:b/>
      <w:bCs/>
    </w:rPr>
  </w:style>
  <w:style w:type="character" w:customStyle="1" w:styleId="OnderwerpvanopmerkingChar">
    <w:name w:val="Onderwerp van opmerking Char"/>
    <w:basedOn w:val="TekstopmerkingChar"/>
    <w:link w:val="Onderwerpvanopmerking"/>
    <w:uiPriority w:val="99"/>
    <w:semiHidden/>
    <w:rsid w:val="00521861"/>
    <w:rPr>
      <w:b/>
      <w:bCs/>
      <w:sz w:val="20"/>
      <w:szCs w:val="20"/>
    </w:rPr>
  </w:style>
  <w:style w:type="paragraph" w:styleId="Revisie">
    <w:name w:val="Revision"/>
    <w:hidden/>
    <w:uiPriority w:val="99"/>
    <w:semiHidden/>
    <w:rsid w:val="00F42B71"/>
    <w:pPr>
      <w:spacing w:after="0" w:line="240" w:lineRule="auto"/>
    </w:pPr>
  </w:style>
  <w:style w:type="character" w:styleId="Vermelding">
    <w:name w:val="Mention"/>
    <w:basedOn w:val="Standaardalinea-lettertype"/>
    <w:uiPriority w:val="99"/>
    <w:unhideWhenUsed/>
    <w:rsid w:val="00EA7508"/>
    <w:rPr>
      <w:color w:val="2B579A"/>
      <w:shd w:val="clear" w:color="auto" w:fill="E1DFDD"/>
    </w:rPr>
  </w:style>
  <w:style w:type="paragraph" w:styleId="Voetnoottekst">
    <w:name w:val="footnote text"/>
    <w:basedOn w:val="Standaard"/>
    <w:link w:val="VoetnoottekstChar"/>
    <w:uiPriority w:val="99"/>
    <w:semiHidden/>
    <w:unhideWhenUsed/>
    <w:rsid w:val="00B858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58AC"/>
    <w:rPr>
      <w:sz w:val="20"/>
      <w:szCs w:val="20"/>
    </w:rPr>
  </w:style>
  <w:style w:type="character" w:styleId="Voetnootmarkering">
    <w:name w:val="footnote reference"/>
    <w:basedOn w:val="Standaardalinea-lettertype"/>
    <w:uiPriority w:val="99"/>
    <w:semiHidden/>
    <w:unhideWhenUsed/>
    <w:rsid w:val="00B858AC"/>
    <w:rPr>
      <w:vertAlign w:val="superscript"/>
    </w:rPr>
  </w:style>
  <w:style w:type="character" w:styleId="Hyperlink">
    <w:name w:val="Hyperlink"/>
    <w:basedOn w:val="Standaardalinea-lettertype"/>
    <w:uiPriority w:val="99"/>
    <w:unhideWhenUsed/>
    <w:rsid w:val="00262F38"/>
    <w:rPr>
      <w:color w:val="0563C1" w:themeColor="hyperlink"/>
      <w:u w:val="single"/>
    </w:rPr>
  </w:style>
  <w:style w:type="character" w:styleId="Onopgelostemelding">
    <w:name w:val="Unresolved Mention"/>
    <w:basedOn w:val="Standaardalinea-lettertype"/>
    <w:uiPriority w:val="99"/>
    <w:semiHidden/>
    <w:unhideWhenUsed/>
    <w:rsid w:val="0026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57513">
      <w:bodyDiv w:val="1"/>
      <w:marLeft w:val="0"/>
      <w:marRight w:val="0"/>
      <w:marTop w:val="0"/>
      <w:marBottom w:val="0"/>
      <w:divBdr>
        <w:top w:val="none" w:sz="0" w:space="0" w:color="auto"/>
        <w:left w:val="none" w:sz="0" w:space="0" w:color="auto"/>
        <w:bottom w:val="none" w:sz="0" w:space="0" w:color="auto"/>
        <w:right w:val="none" w:sz="0" w:space="0" w:color="auto"/>
      </w:divBdr>
    </w:div>
    <w:div w:id="1820490859">
      <w:bodyDiv w:val="1"/>
      <w:marLeft w:val="0"/>
      <w:marRight w:val="0"/>
      <w:marTop w:val="0"/>
      <w:marBottom w:val="0"/>
      <w:divBdr>
        <w:top w:val="none" w:sz="0" w:space="0" w:color="auto"/>
        <w:left w:val="none" w:sz="0" w:space="0" w:color="auto"/>
        <w:bottom w:val="none" w:sz="0" w:space="0" w:color="auto"/>
        <w:right w:val="none" w:sz="0" w:space="0" w:color="auto"/>
      </w:divBdr>
    </w:div>
    <w:div w:id="2003967448">
      <w:bodyDiv w:val="1"/>
      <w:marLeft w:val="0"/>
      <w:marRight w:val="0"/>
      <w:marTop w:val="0"/>
      <w:marBottom w:val="0"/>
      <w:divBdr>
        <w:top w:val="none" w:sz="0" w:space="0" w:color="auto"/>
        <w:left w:val="none" w:sz="0" w:space="0" w:color="auto"/>
        <w:bottom w:val="none" w:sz="0" w:space="0" w:color="auto"/>
        <w:right w:val="none" w:sz="0" w:space="0" w:color="auto"/>
      </w:divBdr>
      <w:divsChild>
        <w:div w:id="4598698">
          <w:marLeft w:val="0"/>
          <w:marRight w:val="0"/>
          <w:marTop w:val="0"/>
          <w:marBottom w:val="0"/>
          <w:divBdr>
            <w:top w:val="none" w:sz="0" w:space="0" w:color="auto"/>
            <w:left w:val="none" w:sz="0" w:space="0" w:color="auto"/>
            <w:bottom w:val="none" w:sz="0" w:space="0" w:color="auto"/>
            <w:right w:val="none" w:sz="0" w:space="0" w:color="auto"/>
          </w:divBdr>
          <w:divsChild>
            <w:div w:id="1270972171">
              <w:marLeft w:val="0"/>
              <w:marRight w:val="0"/>
              <w:marTop w:val="0"/>
              <w:marBottom w:val="0"/>
              <w:divBdr>
                <w:top w:val="none" w:sz="0" w:space="0" w:color="auto"/>
                <w:left w:val="none" w:sz="0" w:space="0" w:color="auto"/>
                <w:bottom w:val="none" w:sz="0" w:space="0" w:color="auto"/>
                <w:right w:val="none" w:sz="0" w:space="0" w:color="auto"/>
              </w:divBdr>
            </w:div>
          </w:divsChild>
        </w:div>
        <w:div w:id="155464437">
          <w:marLeft w:val="0"/>
          <w:marRight w:val="0"/>
          <w:marTop w:val="0"/>
          <w:marBottom w:val="0"/>
          <w:divBdr>
            <w:top w:val="none" w:sz="0" w:space="0" w:color="auto"/>
            <w:left w:val="none" w:sz="0" w:space="0" w:color="auto"/>
            <w:bottom w:val="none" w:sz="0" w:space="0" w:color="auto"/>
            <w:right w:val="none" w:sz="0" w:space="0" w:color="auto"/>
          </w:divBdr>
          <w:divsChild>
            <w:div w:id="495222226">
              <w:marLeft w:val="0"/>
              <w:marRight w:val="0"/>
              <w:marTop w:val="0"/>
              <w:marBottom w:val="0"/>
              <w:divBdr>
                <w:top w:val="none" w:sz="0" w:space="0" w:color="auto"/>
                <w:left w:val="none" w:sz="0" w:space="0" w:color="auto"/>
                <w:bottom w:val="none" w:sz="0" w:space="0" w:color="auto"/>
                <w:right w:val="none" w:sz="0" w:space="0" w:color="auto"/>
              </w:divBdr>
            </w:div>
          </w:divsChild>
        </w:div>
        <w:div w:id="649866991">
          <w:marLeft w:val="0"/>
          <w:marRight w:val="0"/>
          <w:marTop w:val="0"/>
          <w:marBottom w:val="0"/>
          <w:divBdr>
            <w:top w:val="none" w:sz="0" w:space="0" w:color="auto"/>
            <w:left w:val="none" w:sz="0" w:space="0" w:color="auto"/>
            <w:bottom w:val="none" w:sz="0" w:space="0" w:color="auto"/>
            <w:right w:val="none" w:sz="0" w:space="0" w:color="auto"/>
          </w:divBdr>
          <w:divsChild>
            <w:div w:id="683436561">
              <w:marLeft w:val="0"/>
              <w:marRight w:val="0"/>
              <w:marTop w:val="0"/>
              <w:marBottom w:val="0"/>
              <w:divBdr>
                <w:top w:val="none" w:sz="0" w:space="0" w:color="auto"/>
                <w:left w:val="none" w:sz="0" w:space="0" w:color="auto"/>
                <w:bottom w:val="none" w:sz="0" w:space="0" w:color="auto"/>
                <w:right w:val="none" w:sz="0" w:space="0" w:color="auto"/>
              </w:divBdr>
            </w:div>
          </w:divsChild>
        </w:div>
        <w:div w:id="763841587">
          <w:marLeft w:val="0"/>
          <w:marRight w:val="0"/>
          <w:marTop w:val="0"/>
          <w:marBottom w:val="0"/>
          <w:divBdr>
            <w:top w:val="none" w:sz="0" w:space="0" w:color="auto"/>
            <w:left w:val="none" w:sz="0" w:space="0" w:color="auto"/>
            <w:bottom w:val="none" w:sz="0" w:space="0" w:color="auto"/>
            <w:right w:val="none" w:sz="0" w:space="0" w:color="auto"/>
          </w:divBdr>
          <w:divsChild>
            <w:div w:id="1903708957">
              <w:marLeft w:val="0"/>
              <w:marRight w:val="0"/>
              <w:marTop w:val="0"/>
              <w:marBottom w:val="0"/>
              <w:divBdr>
                <w:top w:val="none" w:sz="0" w:space="0" w:color="auto"/>
                <w:left w:val="none" w:sz="0" w:space="0" w:color="auto"/>
                <w:bottom w:val="none" w:sz="0" w:space="0" w:color="auto"/>
                <w:right w:val="none" w:sz="0" w:space="0" w:color="auto"/>
              </w:divBdr>
            </w:div>
          </w:divsChild>
        </w:div>
        <w:div w:id="944536075">
          <w:marLeft w:val="0"/>
          <w:marRight w:val="0"/>
          <w:marTop w:val="0"/>
          <w:marBottom w:val="0"/>
          <w:divBdr>
            <w:top w:val="none" w:sz="0" w:space="0" w:color="auto"/>
            <w:left w:val="none" w:sz="0" w:space="0" w:color="auto"/>
            <w:bottom w:val="none" w:sz="0" w:space="0" w:color="auto"/>
            <w:right w:val="none" w:sz="0" w:space="0" w:color="auto"/>
          </w:divBdr>
          <w:divsChild>
            <w:div w:id="1356542080">
              <w:marLeft w:val="0"/>
              <w:marRight w:val="0"/>
              <w:marTop w:val="0"/>
              <w:marBottom w:val="0"/>
              <w:divBdr>
                <w:top w:val="none" w:sz="0" w:space="0" w:color="auto"/>
                <w:left w:val="none" w:sz="0" w:space="0" w:color="auto"/>
                <w:bottom w:val="none" w:sz="0" w:space="0" w:color="auto"/>
                <w:right w:val="none" w:sz="0" w:space="0" w:color="auto"/>
              </w:divBdr>
            </w:div>
          </w:divsChild>
        </w:div>
        <w:div w:id="1373920999">
          <w:marLeft w:val="0"/>
          <w:marRight w:val="0"/>
          <w:marTop w:val="0"/>
          <w:marBottom w:val="0"/>
          <w:divBdr>
            <w:top w:val="none" w:sz="0" w:space="0" w:color="auto"/>
            <w:left w:val="none" w:sz="0" w:space="0" w:color="auto"/>
            <w:bottom w:val="none" w:sz="0" w:space="0" w:color="auto"/>
            <w:right w:val="none" w:sz="0" w:space="0" w:color="auto"/>
          </w:divBdr>
          <w:divsChild>
            <w:div w:id="994337457">
              <w:marLeft w:val="0"/>
              <w:marRight w:val="0"/>
              <w:marTop w:val="0"/>
              <w:marBottom w:val="0"/>
              <w:divBdr>
                <w:top w:val="none" w:sz="0" w:space="0" w:color="auto"/>
                <w:left w:val="none" w:sz="0" w:space="0" w:color="auto"/>
                <w:bottom w:val="none" w:sz="0" w:space="0" w:color="auto"/>
                <w:right w:val="none" w:sz="0" w:space="0" w:color="auto"/>
              </w:divBdr>
            </w:div>
          </w:divsChild>
        </w:div>
        <w:div w:id="1507670923">
          <w:marLeft w:val="0"/>
          <w:marRight w:val="0"/>
          <w:marTop w:val="0"/>
          <w:marBottom w:val="0"/>
          <w:divBdr>
            <w:top w:val="none" w:sz="0" w:space="0" w:color="auto"/>
            <w:left w:val="none" w:sz="0" w:space="0" w:color="auto"/>
            <w:bottom w:val="none" w:sz="0" w:space="0" w:color="auto"/>
            <w:right w:val="none" w:sz="0" w:space="0" w:color="auto"/>
          </w:divBdr>
          <w:divsChild>
            <w:div w:id="1002972388">
              <w:marLeft w:val="0"/>
              <w:marRight w:val="0"/>
              <w:marTop w:val="0"/>
              <w:marBottom w:val="0"/>
              <w:divBdr>
                <w:top w:val="none" w:sz="0" w:space="0" w:color="auto"/>
                <w:left w:val="none" w:sz="0" w:space="0" w:color="auto"/>
                <w:bottom w:val="none" w:sz="0" w:space="0" w:color="auto"/>
                <w:right w:val="none" w:sz="0" w:space="0" w:color="auto"/>
              </w:divBdr>
            </w:div>
          </w:divsChild>
        </w:div>
        <w:div w:id="1510171914">
          <w:marLeft w:val="0"/>
          <w:marRight w:val="0"/>
          <w:marTop w:val="0"/>
          <w:marBottom w:val="0"/>
          <w:divBdr>
            <w:top w:val="none" w:sz="0" w:space="0" w:color="auto"/>
            <w:left w:val="none" w:sz="0" w:space="0" w:color="auto"/>
            <w:bottom w:val="none" w:sz="0" w:space="0" w:color="auto"/>
            <w:right w:val="none" w:sz="0" w:space="0" w:color="auto"/>
          </w:divBdr>
          <w:divsChild>
            <w:div w:id="2084986745">
              <w:marLeft w:val="0"/>
              <w:marRight w:val="0"/>
              <w:marTop w:val="0"/>
              <w:marBottom w:val="0"/>
              <w:divBdr>
                <w:top w:val="none" w:sz="0" w:space="0" w:color="auto"/>
                <w:left w:val="none" w:sz="0" w:space="0" w:color="auto"/>
                <w:bottom w:val="none" w:sz="0" w:space="0" w:color="auto"/>
                <w:right w:val="none" w:sz="0" w:space="0" w:color="auto"/>
              </w:divBdr>
            </w:div>
          </w:divsChild>
        </w:div>
        <w:div w:id="1598632288">
          <w:marLeft w:val="0"/>
          <w:marRight w:val="0"/>
          <w:marTop w:val="0"/>
          <w:marBottom w:val="0"/>
          <w:divBdr>
            <w:top w:val="none" w:sz="0" w:space="0" w:color="auto"/>
            <w:left w:val="none" w:sz="0" w:space="0" w:color="auto"/>
            <w:bottom w:val="none" w:sz="0" w:space="0" w:color="auto"/>
            <w:right w:val="none" w:sz="0" w:space="0" w:color="auto"/>
          </w:divBdr>
          <w:divsChild>
            <w:div w:id="1515343019">
              <w:marLeft w:val="0"/>
              <w:marRight w:val="0"/>
              <w:marTop w:val="0"/>
              <w:marBottom w:val="0"/>
              <w:divBdr>
                <w:top w:val="none" w:sz="0" w:space="0" w:color="auto"/>
                <w:left w:val="none" w:sz="0" w:space="0" w:color="auto"/>
                <w:bottom w:val="none" w:sz="0" w:space="0" w:color="auto"/>
                <w:right w:val="none" w:sz="0" w:space="0" w:color="auto"/>
              </w:divBdr>
            </w:div>
          </w:divsChild>
        </w:div>
        <w:div w:id="1816414497">
          <w:marLeft w:val="0"/>
          <w:marRight w:val="0"/>
          <w:marTop w:val="0"/>
          <w:marBottom w:val="0"/>
          <w:divBdr>
            <w:top w:val="none" w:sz="0" w:space="0" w:color="auto"/>
            <w:left w:val="none" w:sz="0" w:space="0" w:color="auto"/>
            <w:bottom w:val="none" w:sz="0" w:space="0" w:color="auto"/>
            <w:right w:val="none" w:sz="0" w:space="0" w:color="auto"/>
          </w:divBdr>
          <w:divsChild>
            <w:div w:id="2109497450">
              <w:marLeft w:val="0"/>
              <w:marRight w:val="0"/>
              <w:marTop w:val="0"/>
              <w:marBottom w:val="0"/>
              <w:divBdr>
                <w:top w:val="none" w:sz="0" w:space="0" w:color="auto"/>
                <w:left w:val="none" w:sz="0" w:space="0" w:color="auto"/>
                <w:bottom w:val="none" w:sz="0" w:space="0" w:color="auto"/>
                <w:right w:val="none" w:sz="0" w:space="0" w:color="auto"/>
              </w:divBdr>
            </w:div>
          </w:divsChild>
        </w:div>
        <w:div w:id="1987779806">
          <w:marLeft w:val="0"/>
          <w:marRight w:val="0"/>
          <w:marTop w:val="0"/>
          <w:marBottom w:val="0"/>
          <w:divBdr>
            <w:top w:val="none" w:sz="0" w:space="0" w:color="auto"/>
            <w:left w:val="none" w:sz="0" w:space="0" w:color="auto"/>
            <w:bottom w:val="none" w:sz="0" w:space="0" w:color="auto"/>
            <w:right w:val="none" w:sz="0" w:space="0" w:color="auto"/>
          </w:divBdr>
          <w:divsChild>
            <w:div w:id="582300602">
              <w:marLeft w:val="0"/>
              <w:marRight w:val="0"/>
              <w:marTop w:val="0"/>
              <w:marBottom w:val="0"/>
              <w:divBdr>
                <w:top w:val="none" w:sz="0" w:space="0" w:color="auto"/>
                <w:left w:val="none" w:sz="0" w:space="0" w:color="auto"/>
                <w:bottom w:val="none" w:sz="0" w:space="0" w:color="auto"/>
                <w:right w:val="none" w:sz="0" w:space="0" w:color="auto"/>
              </w:divBdr>
            </w:div>
          </w:divsChild>
        </w:div>
        <w:div w:id="2005283178">
          <w:marLeft w:val="0"/>
          <w:marRight w:val="0"/>
          <w:marTop w:val="0"/>
          <w:marBottom w:val="0"/>
          <w:divBdr>
            <w:top w:val="none" w:sz="0" w:space="0" w:color="auto"/>
            <w:left w:val="none" w:sz="0" w:space="0" w:color="auto"/>
            <w:bottom w:val="none" w:sz="0" w:space="0" w:color="auto"/>
            <w:right w:val="none" w:sz="0" w:space="0" w:color="auto"/>
          </w:divBdr>
          <w:divsChild>
            <w:div w:id="391655167">
              <w:marLeft w:val="0"/>
              <w:marRight w:val="0"/>
              <w:marTop w:val="0"/>
              <w:marBottom w:val="0"/>
              <w:divBdr>
                <w:top w:val="none" w:sz="0" w:space="0" w:color="auto"/>
                <w:left w:val="none" w:sz="0" w:space="0" w:color="auto"/>
                <w:bottom w:val="none" w:sz="0" w:space="0" w:color="auto"/>
                <w:right w:val="none" w:sz="0" w:space="0" w:color="auto"/>
              </w:divBdr>
            </w:div>
            <w:div w:id="1494761222">
              <w:marLeft w:val="0"/>
              <w:marRight w:val="0"/>
              <w:marTop w:val="0"/>
              <w:marBottom w:val="0"/>
              <w:divBdr>
                <w:top w:val="none" w:sz="0" w:space="0" w:color="auto"/>
                <w:left w:val="none" w:sz="0" w:space="0" w:color="auto"/>
                <w:bottom w:val="none" w:sz="0" w:space="0" w:color="auto"/>
                <w:right w:val="none" w:sz="0" w:space="0" w:color="auto"/>
              </w:divBdr>
            </w:div>
            <w:div w:id="15440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right2grow.org/site/assets/files/1440/2022-09_extra_information_on_scs_mtr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ight2grow.org/site/assets/files/1440/r2g_toc_visual.pdf"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B9364942BEC488C29BB8733F93C1B" ma:contentTypeVersion="16" ma:contentTypeDescription="Create a new document." ma:contentTypeScope="" ma:versionID="7563a0b83608e875f630e32499d3c00a">
  <xsd:schema xmlns:xsd="http://www.w3.org/2001/XMLSchema" xmlns:xs="http://www.w3.org/2001/XMLSchema" xmlns:p="http://schemas.microsoft.com/office/2006/metadata/properties" xmlns:ns2="56c5aa36-747b-4926-b2c4-bd666858ecad" xmlns:ns3="9241aab7-104d-4193-acf4-7d11c118ca12" targetNamespace="http://schemas.microsoft.com/office/2006/metadata/properties" ma:root="true" ma:fieldsID="116d5553e3c7a42bee032f4f8d270ef3" ns2:_="" ns3:_="">
    <xsd:import namespace="56c5aa36-747b-4926-b2c4-bd666858ecad"/>
    <xsd:import namespace="9241aab7-104d-4193-acf4-7d11c118ca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5aa36-747b-4926-b2c4-bd666858e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a50912-316c-4032-a046-2bdb0aebf2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1aab7-104d-4193-acf4-7d11c118ca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6ffc12-0330-4e0d-abfe-78632e0262e1}" ma:internalName="TaxCatchAll" ma:showField="CatchAllData" ma:web="9241aab7-104d-4193-acf4-7d11c118c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c5aa36-747b-4926-b2c4-bd666858ecad">
      <Terms xmlns="http://schemas.microsoft.com/office/infopath/2007/PartnerControls"/>
    </lcf76f155ced4ddcb4097134ff3c332f>
    <TaxCatchAll xmlns="9241aab7-104d-4193-acf4-7d11c118ca12" xsi:nil="true"/>
    <SharedWithUsers xmlns="9241aab7-104d-4193-acf4-7d11c118ca12">
      <UserInfo>
        <DisplayName>Paul Gabula</DisplayName>
        <AccountId>381</AccountId>
        <AccountType/>
      </UserInfo>
      <UserInfo>
        <DisplayName>Stephanie Stern</DisplayName>
        <AccountId>86</AccountId>
        <AccountType/>
      </UserInfo>
      <UserInfo>
        <DisplayName>Bert van 't Oever</DisplayName>
        <AccountId>354</AccountId>
        <AccountType/>
      </UserInfo>
      <UserInfo>
        <DisplayName>Jovana Dodos</DisplayName>
        <AccountId>34</AccountId>
        <AccountType/>
      </UserInfo>
      <UserInfo>
        <DisplayName>Laurien de Vos</DisplayName>
        <AccountId>92</AccountId>
        <AccountType/>
      </UserInfo>
      <UserInfo>
        <DisplayName>Marijn Clevers</DisplayName>
        <AccountId>99</AccountId>
        <AccountType/>
      </UserInfo>
      <UserInfo>
        <DisplayName>Ousmane Maiga</DisplayName>
        <AccountId>392</AccountId>
        <AccountType/>
      </UserInfo>
      <UserInfo>
        <DisplayName>Violah Nayebare</DisplayName>
        <AccountId>466</AccountId>
        <AccountType/>
      </UserInfo>
      <UserInfo>
        <DisplayName>Rokiatou Simpara</DisplayName>
        <AccountId>511</AccountId>
        <AccountType/>
      </UserInfo>
      <UserInfo>
        <DisplayName>Jouwert van Geene</DisplayName>
        <AccountId>9</AccountId>
        <AccountType/>
      </UserInfo>
      <UserInfo>
        <DisplayName>Stephen Otieno</DisplayName>
        <AccountId>407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608E-1C1F-4F85-8261-726DC1541A70}">
  <ds:schemaRefs>
    <ds:schemaRef ds:uri="http://schemas.microsoft.com/sharepoint/v3/contenttype/forms"/>
  </ds:schemaRefs>
</ds:datastoreItem>
</file>

<file path=customXml/itemProps2.xml><?xml version="1.0" encoding="utf-8"?>
<ds:datastoreItem xmlns:ds="http://schemas.openxmlformats.org/officeDocument/2006/customXml" ds:itemID="{BB967FC8-51C9-404A-98D0-1C0F76A0A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5aa36-747b-4926-b2c4-bd666858ecad"/>
    <ds:schemaRef ds:uri="9241aab7-104d-4193-acf4-7d11c118c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9D6D2-03AC-41F4-A2D2-D2E4EFF846F8}">
  <ds:schemaRefs>
    <ds:schemaRef ds:uri="http://purl.org/dc/elements/1.1/"/>
    <ds:schemaRef ds:uri="http://schemas.openxmlformats.org/package/2006/metadata/core-properties"/>
    <ds:schemaRef ds:uri="9241aab7-104d-4193-acf4-7d11c118ca12"/>
    <ds:schemaRef ds:uri="http://purl.org/dc/terms/"/>
    <ds:schemaRef ds:uri="http://schemas.microsoft.com/office/2006/documentManagement/types"/>
    <ds:schemaRef ds:uri="http://schemas.microsoft.com/office/2006/metadata/properties"/>
    <ds:schemaRef ds:uri="56c5aa36-747b-4926-b2c4-bd666858eca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2F22934-D5BE-4B91-94A8-76B5D9E4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3871</Words>
  <Characters>21291</Characters>
  <Application>Microsoft Office Word</Application>
  <DocSecurity>0</DocSecurity>
  <Lines>177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Ayichalim Goshu | Max Foundation</dc:creator>
  <cp:keywords/>
  <dc:description/>
  <cp:lastModifiedBy>Jouwert van Geene</cp:lastModifiedBy>
  <cp:revision>2</cp:revision>
  <cp:lastPrinted>2022-07-14T12:54:00Z</cp:lastPrinted>
  <dcterms:created xsi:type="dcterms:W3CDTF">2023-03-07T16:07:00Z</dcterms:created>
  <dcterms:modified xsi:type="dcterms:W3CDTF">2023-03-07T16:07:00Z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0x010100368B9364942BEC488C29BB8733F93C1B</vt:lpwstr>
  </property>
  <property fmtid="{D5CDD505-2E9C-101B-9397-08002B2CF9AE}" pid="3" name="MediaServiceImageTags">
    <vt:lpwstr/>
  </property>
</Properties>
</file>